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atLeast"/>
              <w:ind w:firstLine="367" w:firstLineChars="175"/>
              <w:rPr>
                <w:rFonts w:hint="eastAsia" w:ascii="宋体" w:hAnsi="宋体"/>
                <w:szCs w:val="21"/>
              </w:rPr>
            </w:pPr>
            <w:r>
              <w:rPr>
                <w:rFonts w:hint="eastAsia" w:ascii="宋体" w:hAnsi="宋体"/>
                <w:szCs w:val="21"/>
              </w:rPr>
              <w:t>具备独立法人资格，具有有效的营业执照；具有有效的《机动车维修经营备案表》，经营范围包括</w:t>
            </w:r>
            <w:r>
              <w:rPr>
                <w:rFonts w:hint="eastAsia" w:ascii="宋体" w:hAnsi="宋体"/>
              </w:rPr>
              <w:t>：</w:t>
            </w:r>
            <w:r>
              <w:rPr>
                <w:rFonts w:hint="eastAsia" w:ascii="宋体" w:hAnsi="宋体"/>
                <w:szCs w:val="21"/>
              </w:rPr>
              <w:t>二类及以上机动车维修(包含大中型客车维修和小型车维修)。</w:t>
            </w:r>
          </w:p>
        </w:tc>
      </w:tr>
    </w:tbl>
    <w:p>
      <w:pPr>
        <w:pStyle w:val="3"/>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hint="eastAsia" w:ascii="宋体" w:hAnsi="宋体"/>
                <w:b/>
                <w:bCs/>
                <w:szCs w:val="21"/>
              </w:rPr>
            </w:pPr>
            <w:bookmarkStart w:id="0" w:name="_Hlk50454153"/>
            <w:bookmarkStart w:id="1" w:name="_Hlk51692819"/>
            <w:r>
              <w:rPr>
                <w:rFonts w:hint="eastAsia" w:ascii="宋体" w:hAnsi="宋体"/>
                <w:szCs w:val="21"/>
              </w:rPr>
              <w:t>投标人近3年内（2021年8月1日至今，以合同签订时间为准）至少承担过一项合同金额不少于30万元车辆定点维修项目业绩。</w:t>
            </w:r>
            <w:bookmarkEnd w:id="0"/>
            <w:bookmarkEnd w:id="1"/>
          </w:p>
        </w:tc>
      </w:tr>
    </w:tbl>
    <w:p>
      <w:pPr>
        <w:pStyle w:val="3"/>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3年8月1日至今)</w:t>
            </w:r>
            <w:r>
              <w:rPr>
                <w:rFonts w:hint="eastAsia" w:ascii="宋体" w:hAnsi="宋体"/>
                <w:szCs w:val="21"/>
              </w:rPr>
              <w:t>不曾在车辆维修保养服务合同中违约而被驱逐或因投标人自身的原因而使车辆维修保养服务合同被解除。</w:t>
            </w:r>
          </w:p>
        </w:tc>
      </w:tr>
    </w:tbl>
    <w:p>
      <w:pPr>
        <w:spacing w:line="360" w:lineRule="exact"/>
        <w:jc w:val="left"/>
        <w:rPr>
          <w:rFonts w:hint="eastAsia" w:ascii="宋体" w:hAnsi="宋体"/>
          <w:b/>
          <w:sz w:val="24"/>
        </w:rPr>
      </w:pPr>
    </w:p>
    <w:p>
      <w:pPr>
        <w:adjustRightInd w:val="0"/>
        <w:spacing w:line="400" w:lineRule="atLeast"/>
        <w:ind w:firstLine="367" w:firstLineChars="175"/>
        <w:rPr>
          <w:rFonts w:hint="eastAsia" w:ascii="宋体" w:hAnsi="宋体"/>
        </w:rPr>
      </w:pPr>
    </w:p>
    <w:p>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hint="eastAsia" w:ascii="宋体" w:hAnsi="宋体"/>
                <w:szCs w:val="21"/>
              </w:rPr>
            </w:pPr>
            <w:r>
              <w:rPr>
                <w:rFonts w:hint="eastAsia" w:ascii="宋体" w:hAnsi="宋体"/>
                <w:szCs w:val="21"/>
              </w:rPr>
              <w:t>（2）服务方案得分较高的投标人优先；</w:t>
            </w:r>
          </w:p>
          <w:p>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2.1.1</w:t>
            </w:r>
          </w:p>
          <w:p>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a．投标函按招标文件规定填报了项目名称、投标价（包括大写金额和小写金额）、补遗书编号（如有）、质量要求、服务期限、安全目标；</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ind w:firstLine="420" w:firstLineChars="200"/>
              <w:rPr>
                <w:rFonts w:hint="eastAsia" w:ascii="宋体" w:hAnsi="宋体"/>
                <w:szCs w:val="21"/>
              </w:rPr>
            </w:pPr>
            <w:r>
              <w:rPr>
                <w:rFonts w:hint="eastAsia"/>
              </w:rPr>
              <w:t>c.</w:t>
            </w:r>
            <w:r>
              <w:rPr>
                <w:rFonts w:hint="eastAsia" w:ascii="宋体" w:hAnsi="宋体"/>
                <w:szCs w:val="21"/>
              </w:rPr>
              <w:t xml:space="preserve"> 已标价工程量清单说明文字与招标文件规定一致，未进行实质性修改和删减；</w:t>
            </w:r>
          </w:p>
          <w:p>
            <w:pPr>
              <w:pStyle w:val="2"/>
              <w:ind w:firstLine="282" w:firstLineChars="123"/>
              <w:rPr>
                <w:rFonts w:hint="eastAsia"/>
                <w:lang w:eastAsia="zh-CN"/>
              </w:rPr>
            </w:pPr>
            <w:r>
              <w:rPr>
                <w:rFonts w:hint="eastAsia"/>
                <w:lang w:eastAsia="zh-CN"/>
              </w:rPr>
              <w:t>d.</w:t>
            </w:r>
            <w:r>
              <w:rPr>
                <w:rFonts w:hint="eastAsia"/>
                <w:szCs w:val="21"/>
                <w:lang w:eastAsia="zh-CN"/>
              </w:rPr>
              <w:t>投标人未对固化清单电子文件中的给定的数据、格式和运算定义进行修改；固化清单中的投标报价和投标函大写金额报价一致。</w:t>
            </w:r>
          </w:p>
          <w:p>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60" w:lineRule="exact"/>
              <w:ind w:firstLine="525" w:firstLineChars="250"/>
              <w:rPr>
                <w:rFonts w:hint="eastAsia" w:ascii="宋体" w:hAnsi="宋体"/>
                <w:szCs w:val="21"/>
              </w:rPr>
            </w:pPr>
            <w:r>
              <w:rPr>
                <w:rFonts w:hint="eastAsia" w:ascii="宋体" w:hAnsi="宋体"/>
                <w:szCs w:val="21"/>
              </w:rPr>
              <w:t>（3）投标人法定代表人授权委托代理人签署投标文件的，须提交授权委托书，且授权人和被授权人均在授权书上签名。</w:t>
            </w:r>
          </w:p>
          <w:p>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hint="eastAsia" w:ascii="宋体" w:hAnsi="宋体"/>
                <w:szCs w:val="21"/>
              </w:rPr>
            </w:pPr>
            <w:r>
              <w:rPr>
                <w:rFonts w:hint="eastAsia" w:ascii="宋体" w:hAnsi="宋体"/>
                <w:szCs w:val="21"/>
              </w:rPr>
              <w:t>（5）投标人未以联合体形式投标。</w:t>
            </w:r>
          </w:p>
          <w:p>
            <w:pPr>
              <w:tabs>
                <w:tab w:val="left" w:pos="3060"/>
              </w:tabs>
              <w:spacing w:line="360" w:lineRule="exact"/>
              <w:ind w:firstLine="525" w:firstLineChars="250"/>
              <w:rPr>
                <w:rFonts w:hint="eastAsia" w:ascii="宋体" w:hAnsi="宋体"/>
                <w:szCs w:val="21"/>
              </w:rPr>
            </w:pPr>
            <w:r>
              <w:rPr>
                <w:rFonts w:hint="eastAsia" w:ascii="宋体" w:hAnsi="宋体"/>
                <w:szCs w:val="21"/>
              </w:rPr>
              <w:t>（6）同一投标人未提交两个以上不同的投标文件。</w:t>
            </w:r>
          </w:p>
          <w:p>
            <w:pPr>
              <w:tabs>
                <w:tab w:val="left" w:pos="3060"/>
              </w:tabs>
              <w:spacing w:line="360" w:lineRule="exact"/>
              <w:ind w:firstLine="525" w:firstLineChars="250"/>
              <w:rPr>
                <w:rFonts w:hint="eastAsia" w:ascii="宋体" w:hAnsi="宋体"/>
                <w:szCs w:val="21"/>
              </w:rPr>
            </w:pPr>
            <w:r>
              <w:rPr>
                <w:rFonts w:hint="eastAsia" w:ascii="宋体" w:hAnsi="宋体"/>
                <w:szCs w:val="21"/>
              </w:rPr>
              <w:t>（7）投标报价未超过招标文件设定的最高投标限价。</w:t>
            </w:r>
          </w:p>
          <w:p>
            <w:pPr>
              <w:tabs>
                <w:tab w:val="left" w:pos="3060"/>
              </w:tabs>
              <w:spacing w:line="360" w:lineRule="exact"/>
              <w:ind w:firstLine="525" w:firstLineChars="250"/>
              <w:rPr>
                <w:rFonts w:hint="eastAsia" w:ascii="宋体" w:hAnsi="宋体"/>
                <w:szCs w:val="21"/>
              </w:rPr>
            </w:pPr>
            <w:r>
              <w:rPr>
                <w:rFonts w:hint="eastAsia" w:ascii="宋体" w:hAnsi="宋体"/>
                <w:szCs w:val="21"/>
              </w:rPr>
              <w:t>（8）投标报价的大写金额能够确定具体数值。</w:t>
            </w:r>
          </w:p>
          <w:p>
            <w:pPr>
              <w:tabs>
                <w:tab w:val="left" w:pos="3060"/>
              </w:tabs>
              <w:spacing w:line="360" w:lineRule="exact"/>
              <w:ind w:firstLine="525" w:firstLineChars="250"/>
              <w:rPr>
                <w:rFonts w:hint="eastAsia" w:ascii="宋体" w:hAnsi="宋体"/>
                <w:szCs w:val="21"/>
              </w:rPr>
            </w:pPr>
            <w:r>
              <w:rPr>
                <w:rFonts w:hint="eastAsia" w:ascii="宋体" w:hAnsi="宋体"/>
                <w:szCs w:val="21"/>
              </w:rPr>
              <w:t>（9）投标文件载明的招标项目完成期限符合招标文件规定的时限。</w:t>
            </w:r>
          </w:p>
          <w:p>
            <w:pPr>
              <w:tabs>
                <w:tab w:val="left" w:pos="3060"/>
              </w:tabs>
              <w:spacing w:line="360" w:lineRule="exact"/>
              <w:ind w:firstLine="525" w:firstLineChars="250"/>
              <w:rPr>
                <w:rFonts w:hint="eastAsia" w:ascii="宋体" w:hAnsi="宋体"/>
                <w:szCs w:val="21"/>
              </w:rPr>
            </w:pPr>
            <w:r>
              <w:rPr>
                <w:rFonts w:hint="eastAsia" w:ascii="宋体" w:hAnsi="宋体"/>
                <w:szCs w:val="21"/>
              </w:rPr>
              <w:t>（10）投标人未对本项目提出分包计划。</w:t>
            </w:r>
          </w:p>
          <w:p>
            <w:pPr>
              <w:tabs>
                <w:tab w:val="left" w:pos="3060"/>
              </w:tabs>
              <w:spacing w:line="360" w:lineRule="exact"/>
              <w:ind w:firstLine="525" w:firstLineChars="250"/>
              <w:rPr>
                <w:rFonts w:hint="eastAsia" w:ascii="宋体" w:hAnsi="宋体"/>
                <w:szCs w:val="21"/>
              </w:rPr>
            </w:pPr>
            <w:r>
              <w:rPr>
                <w:rFonts w:hint="eastAsia" w:ascii="宋体" w:hAnsi="宋体"/>
                <w:szCs w:val="21"/>
              </w:rPr>
              <w:t>（11）投标文件对招标文件的实质性要求和条件作出响应。</w:t>
            </w:r>
          </w:p>
          <w:p>
            <w:pPr>
              <w:tabs>
                <w:tab w:val="left" w:pos="3060"/>
              </w:tabs>
              <w:spacing w:line="360" w:lineRule="exact"/>
              <w:ind w:firstLine="525" w:firstLineChars="250"/>
              <w:rPr>
                <w:rFonts w:hint="eastAsia" w:ascii="宋体" w:hAnsi="宋体"/>
                <w:szCs w:val="21"/>
              </w:rPr>
            </w:pPr>
            <w:r>
              <w:rPr>
                <w:rFonts w:hint="eastAsia" w:ascii="宋体" w:hAnsi="宋体"/>
                <w:szCs w:val="21"/>
              </w:rPr>
              <w:t>（12）权利义务符合招标文件规定：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（1）投标人具备有效的营业执照和基本账户开户许可证（或基本存款账户信息）。</w:t>
            </w:r>
          </w:p>
          <w:p>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）投标人的资质等级符合招标文件规定。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hint="eastAsia" w:ascii="宋体" w:hAnsi="宋体"/>
                <w:szCs w:val="21"/>
              </w:rPr>
            </w:pPr>
            <w:r>
              <w:rPr>
                <w:rFonts w:hint="eastAsia" w:ascii="宋体" w:hAnsi="宋体"/>
                <w:szCs w:val="21"/>
              </w:rPr>
              <w:t>（5）投标人不存在第二章“投标人须知”第1.4.3项或1.4.4项规定的任何一种情形。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 xml:space="preserve">       </w:t>
            </w:r>
            <w:r>
              <w:rPr>
                <w:rFonts w:hint="eastAsia" w:ascii="宋体" w:hAnsi="宋体"/>
                <w:szCs w:val="21"/>
              </w:rPr>
              <w:t>20分</w:t>
            </w:r>
          </w:p>
          <w:p>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 xml:space="preserve">             </w:t>
            </w:r>
            <w:r>
              <w:rPr>
                <w:rFonts w:hint="eastAsia" w:ascii="宋体" w:hAnsi="宋体"/>
                <w:szCs w:val="21"/>
              </w:rPr>
              <w:t>50分</w:t>
            </w:r>
          </w:p>
          <w:p>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 xml:space="preserve">       </w:t>
            </w:r>
            <w:r>
              <w:rPr>
                <w:rFonts w:hint="eastAsia" w:ascii="宋体" w:hAnsi="宋体"/>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pPr>
              <w:spacing w:line="360" w:lineRule="exact"/>
              <w:ind w:firstLine="420" w:firstLineChars="200"/>
              <w:rPr>
                <w:rFonts w:hint="eastAsia" w:ascii="宋体" w:hAnsi="宋体"/>
                <w:szCs w:val="21"/>
              </w:rPr>
            </w:pPr>
            <w:r>
              <w:rPr>
                <w:rFonts w:hint="eastAsia" w:ascii="宋体" w:hAnsi="宋体"/>
                <w:szCs w:val="21"/>
              </w:rPr>
              <w:t>评标价=投标函文字报价</w:t>
            </w:r>
          </w:p>
          <w:p>
            <w:pPr>
              <w:spacing w:line="360" w:lineRule="exact"/>
              <w:ind w:firstLine="420" w:firstLineChars="200"/>
              <w:rPr>
                <w:rFonts w:hint="eastAsia" w:ascii="宋体" w:hAnsi="宋体"/>
                <w:szCs w:val="21"/>
              </w:rPr>
            </w:pPr>
            <w:r>
              <w:rPr>
                <w:rFonts w:hint="eastAsia" w:ascii="宋体" w:hAnsi="宋体"/>
                <w:szCs w:val="21"/>
              </w:rPr>
              <w:t>(2)评标价平均值的计算：</w:t>
            </w:r>
          </w:p>
          <w:p>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hint="eastAsia" w:ascii="宋体" w:hAnsi="宋体"/>
                <w:szCs w:val="21"/>
              </w:rPr>
            </w:pPr>
            <w:r>
              <w:rPr>
                <w:rFonts w:hint="eastAsia" w:ascii="宋体" w:hAnsi="宋体"/>
                <w:szCs w:val="21"/>
              </w:rPr>
              <w:t>(3)评标基准价的确定：</w:t>
            </w:r>
          </w:p>
          <w:p>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pPr>
              <w:spacing w:line="360" w:lineRule="exact"/>
              <w:ind w:firstLine="420" w:firstLineChars="200"/>
              <w:rPr>
                <w:rFonts w:ascii="Calibri" w:hAnsi="Calibri"/>
                <w:szCs w:val="24"/>
              </w:rPr>
            </w:pPr>
            <w:r>
              <w:rPr>
                <w:rFonts w:hint="eastAsia" w:ascii="宋体" w:hAnsi="宋体"/>
              </w:rPr>
              <w:t>如投标人未提供相关网页截图或所附截图与复核结果不一致，评标委员会应否决其投标。</w:t>
            </w:r>
          </w:p>
          <w:p>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需要补充的其他内容：无</w:t>
            </w:r>
          </w:p>
        </w:tc>
      </w:tr>
    </w:tbl>
    <w:p>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718"/>
        <w:gridCol w:w="915"/>
        <w:gridCol w:w="531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hint="eastAsia" w:ascii="宋体" w:hAnsi="宋体"/>
                <w:szCs w:val="21"/>
              </w:rPr>
            </w:pPr>
            <w:r>
              <w:rPr>
                <w:rFonts w:hint="eastAsia" w:ascii="宋体" w:hAnsi="宋体"/>
                <w:szCs w:val="21"/>
              </w:rPr>
              <w:t>序号</w:t>
            </w:r>
          </w:p>
        </w:tc>
        <w:tc>
          <w:tcPr>
            <w:tcW w:w="2748" w:type="dxa"/>
            <w:gridSpan w:val="2"/>
            <w:vAlign w:val="center"/>
          </w:tcPr>
          <w:p>
            <w:pPr>
              <w:jc w:val="center"/>
              <w:rPr>
                <w:rFonts w:hint="eastAsia" w:ascii="宋体" w:hAnsi="宋体"/>
                <w:szCs w:val="21"/>
              </w:rPr>
            </w:pPr>
            <w:r>
              <w:rPr>
                <w:rFonts w:hint="eastAsia" w:ascii="宋体" w:hAnsi="宋体"/>
                <w:szCs w:val="21"/>
              </w:rPr>
              <w:t>评审项目</w:t>
            </w:r>
          </w:p>
        </w:tc>
        <w:tc>
          <w:tcPr>
            <w:tcW w:w="915" w:type="dxa"/>
            <w:vAlign w:val="center"/>
          </w:tcPr>
          <w:p>
            <w:pPr>
              <w:jc w:val="center"/>
              <w:rPr>
                <w:rFonts w:hint="eastAsia" w:ascii="宋体" w:hAnsi="宋体"/>
                <w:szCs w:val="21"/>
              </w:rPr>
            </w:pPr>
            <w:r>
              <w:rPr>
                <w:rFonts w:hint="eastAsia" w:ascii="宋体" w:hAnsi="宋体"/>
                <w:szCs w:val="21"/>
              </w:rPr>
              <w:t>标准分</w:t>
            </w:r>
          </w:p>
        </w:tc>
        <w:tc>
          <w:tcPr>
            <w:tcW w:w="5312" w:type="dxa"/>
            <w:vAlign w:val="center"/>
          </w:tcPr>
          <w:p>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49" w:hRule="atLeast"/>
          <w:jc w:val="center"/>
        </w:trPr>
        <w:tc>
          <w:tcPr>
            <w:tcW w:w="735" w:type="dxa"/>
            <w:vMerge w:val="restart"/>
            <w:vAlign w:val="center"/>
          </w:tcPr>
          <w:p>
            <w:pPr>
              <w:snapToGrid w:val="0"/>
              <w:jc w:val="center"/>
              <w:rPr>
                <w:rFonts w:hint="eastAsia" w:ascii="宋体" w:hAnsi="宋体" w:cs="宋体"/>
                <w:bCs/>
                <w:w w:val="90"/>
                <w:szCs w:val="21"/>
              </w:rPr>
            </w:pPr>
            <w:r>
              <w:rPr>
                <w:rFonts w:ascii="宋体" w:hAnsi="宋体" w:cs="宋体"/>
                <w:bCs/>
                <w:szCs w:val="21"/>
              </w:rPr>
              <w:t>2.2.4</w:t>
            </w:r>
            <w:r>
              <w:rPr>
                <w:rFonts w:hint="eastAsia" w:ascii="宋体" w:hAnsi="宋体" w:cs="宋体"/>
                <w:bCs/>
                <w:szCs w:val="21"/>
              </w:rPr>
              <w:t>（1）</w:t>
            </w:r>
          </w:p>
        </w:tc>
        <w:tc>
          <w:tcPr>
            <w:tcW w:w="2748" w:type="dxa"/>
            <w:gridSpan w:val="2"/>
            <w:vMerge w:val="restart"/>
            <w:vAlign w:val="center"/>
          </w:tcPr>
          <w:p>
            <w:pPr>
              <w:snapToGrid w:val="0"/>
              <w:jc w:val="center"/>
              <w:rPr>
                <w:rFonts w:hint="eastAsia" w:ascii="宋体" w:hAnsi="宋体" w:cs="宋体"/>
                <w:bCs/>
                <w:szCs w:val="21"/>
              </w:rPr>
            </w:pPr>
            <w:r>
              <w:rPr>
                <w:rFonts w:hint="eastAsia" w:ascii="宋体" w:hAnsi="宋体" w:cs="宋体"/>
                <w:bCs/>
                <w:szCs w:val="21"/>
              </w:rPr>
              <w:t>业绩</w:t>
            </w:r>
          </w:p>
        </w:tc>
        <w:tc>
          <w:tcPr>
            <w:tcW w:w="915" w:type="dxa"/>
            <w:vMerge w:val="restart"/>
            <w:vAlign w:val="center"/>
          </w:tcPr>
          <w:p>
            <w:pPr>
              <w:snapToGrid w:val="0"/>
              <w:jc w:val="center"/>
              <w:rPr>
                <w:rFonts w:hint="eastAsia" w:ascii="宋体" w:hAnsi="宋体" w:cs="宋体"/>
                <w:bCs/>
                <w:szCs w:val="21"/>
              </w:rPr>
            </w:pPr>
            <w:r>
              <w:rPr>
                <w:rFonts w:ascii="宋体" w:hAnsi="宋体" w:cs="宋体"/>
                <w:bCs/>
                <w:szCs w:val="21"/>
              </w:rPr>
              <w:t>2</w:t>
            </w:r>
            <w:r>
              <w:rPr>
                <w:rFonts w:hint="eastAsia" w:ascii="宋体" w:hAnsi="宋体" w:cs="宋体"/>
                <w:bCs/>
                <w:szCs w:val="21"/>
              </w:rPr>
              <w:t>0分</w:t>
            </w:r>
          </w:p>
        </w:tc>
        <w:tc>
          <w:tcPr>
            <w:tcW w:w="5312" w:type="dxa"/>
            <w:vAlign w:val="center"/>
          </w:tcPr>
          <w:p>
            <w:pPr>
              <w:snapToGrid w:val="0"/>
              <w:rPr>
                <w:rFonts w:hint="eastAsia" w:ascii="宋体" w:hAnsi="宋体" w:cs="宋体"/>
                <w:bCs/>
                <w:szCs w:val="21"/>
              </w:rPr>
            </w:pPr>
            <w:r>
              <w:rPr>
                <w:rFonts w:hint="eastAsia" w:ascii="宋体" w:hAnsi="宋体"/>
                <w:szCs w:val="21"/>
              </w:rPr>
              <w:t>满足资格审查条件要求(业绩最低要求)得12分；</w:t>
            </w:r>
            <w:r>
              <w:rPr>
                <w:rFonts w:ascii="宋体" w:hAnsi="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34" w:hRule="atLeast"/>
          <w:jc w:val="center"/>
        </w:trPr>
        <w:tc>
          <w:tcPr>
            <w:tcW w:w="735" w:type="dxa"/>
            <w:vMerge w:val="continue"/>
            <w:vAlign w:val="center"/>
          </w:tcPr>
          <w:p>
            <w:pPr>
              <w:snapToGrid w:val="0"/>
              <w:jc w:val="center"/>
              <w:rPr>
                <w:rFonts w:hint="eastAsia" w:ascii="宋体" w:hAnsi="宋体" w:cs="宋体"/>
                <w:bCs/>
                <w:w w:val="90"/>
                <w:szCs w:val="21"/>
              </w:rPr>
            </w:pPr>
          </w:p>
        </w:tc>
        <w:tc>
          <w:tcPr>
            <w:tcW w:w="2748" w:type="dxa"/>
            <w:gridSpan w:val="2"/>
            <w:vMerge w:val="continue"/>
            <w:vAlign w:val="center"/>
          </w:tcPr>
          <w:p>
            <w:pPr>
              <w:snapToGrid w:val="0"/>
              <w:jc w:val="center"/>
              <w:rPr>
                <w:rFonts w:hint="eastAsia" w:ascii="宋体" w:hAnsi="宋体" w:cs="宋体"/>
                <w:bCs/>
                <w:szCs w:val="21"/>
              </w:rPr>
            </w:pPr>
          </w:p>
        </w:tc>
        <w:tc>
          <w:tcPr>
            <w:tcW w:w="915" w:type="dxa"/>
            <w:vMerge w:val="continue"/>
            <w:vAlign w:val="center"/>
          </w:tcPr>
          <w:p>
            <w:pPr>
              <w:snapToGrid w:val="0"/>
              <w:jc w:val="center"/>
              <w:rPr>
                <w:rFonts w:hint="eastAsia" w:ascii="宋体" w:hAnsi="宋体" w:cs="宋体"/>
                <w:bCs/>
                <w:szCs w:val="21"/>
              </w:rPr>
            </w:pPr>
          </w:p>
        </w:tc>
        <w:tc>
          <w:tcPr>
            <w:tcW w:w="5312" w:type="dxa"/>
            <w:vAlign w:val="center"/>
          </w:tcPr>
          <w:p>
            <w:pPr>
              <w:snapToGrid w:val="0"/>
              <w:rPr>
                <w:rFonts w:hint="eastAsia" w:ascii="宋体" w:hAnsi="宋体"/>
                <w:szCs w:val="21"/>
              </w:rPr>
            </w:pPr>
            <w:r>
              <w:rPr>
                <w:rFonts w:hint="eastAsia" w:ascii="宋体" w:hAnsi="宋体"/>
                <w:szCs w:val="21"/>
              </w:rPr>
              <w:t>每增加一项满足资格审查条件要求(业绩最低要求)的</w:t>
            </w:r>
            <w:r>
              <w:rPr>
                <w:rFonts w:hint="eastAsia" w:ascii="宋体" w:hAnsi="宋体" w:cs="宋体"/>
                <w:bCs/>
                <w:szCs w:val="21"/>
              </w:rPr>
              <w:t>业绩加4分，最高加8分。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53" w:hRule="atLeast"/>
          <w:jc w:val="center"/>
        </w:trPr>
        <w:tc>
          <w:tcPr>
            <w:tcW w:w="735" w:type="dxa"/>
            <w:vMerge w:val="restart"/>
            <w:tcBorders>
              <w:right w:val="single" w:color="auto" w:sz="2" w:space="0"/>
            </w:tcBorders>
            <w:vAlign w:val="center"/>
          </w:tcPr>
          <w:p>
            <w:pPr>
              <w:snapToGrid w:val="0"/>
              <w:jc w:val="center"/>
              <w:rPr>
                <w:rFonts w:hint="eastAsia" w:ascii="宋体" w:hAnsi="宋体" w:cs="宋体"/>
                <w:bCs/>
                <w:w w:val="90"/>
                <w:szCs w:val="21"/>
              </w:rPr>
            </w:pPr>
            <w:r>
              <w:rPr>
                <w:rFonts w:ascii="宋体" w:hAnsi="宋体" w:cs="宋体"/>
                <w:bCs/>
                <w:szCs w:val="21"/>
              </w:rPr>
              <w:t>2.2.4</w:t>
            </w:r>
            <w:r>
              <w:rPr>
                <w:rFonts w:hint="eastAsia" w:ascii="宋体" w:hAnsi="宋体" w:cs="宋体"/>
                <w:bCs/>
                <w:szCs w:val="21"/>
              </w:rPr>
              <w:t>（3）</w:t>
            </w:r>
          </w:p>
        </w:tc>
        <w:tc>
          <w:tcPr>
            <w:tcW w:w="1030" w:type="dxa"/>
            <w:vMerge w:val="restart"/>
            <w:tcBorders>
              <w:left w:val="single" w:color="auto" w:sz="2" w:space="0"/>
              <w:right w:val="single" w:color="auto" w:sz="2" w:space="0"/>
            </w:tcBorders>
            <w:vAlign w:val="center"/>
          </w:tcPr>
          <w:p>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（50分）</w:t>
            </w:r>
          </w:p>
        </w:tc>
        <w:tc>
          <w:tcPr>
            <w:tcW w:w="1718" w:type="dxa"/>
            <w:tcBorders>
              <w:left w:val="single" w:color="auto" w:sz="2" w:space="0"/>
            </w:tcBorders>
            <w:vAlign w:val="center"/>
          </w:tcPr>
          <w:p>
            <w:pPr>
              <w:snapToGrid w:val="0"/>
              <w:jc w:val="center"/>
              <w:rPr>
                <w:rFonts w:hint="eastAsia" w:ascii="宋体" w:hAnsi="宋体" w:cs="宋体"/>
                <w:bCs/>
                <w:szCs w:val="21"/>
              </w:rPr>
            </w:pPr>
            <w:r>
              <w:rPr>
                <w:rFonts w:hint="eastAsia" w:ascii="宋体" w:hAnsi="宋体" w:cs="宋体"/>
                <w:kern w:val="0"/>
                <w:szCs w:val="21"/>
              </w:rPr>
              <w:t>企业基本条件、项目实施团队及人员配备</w:t>
            </w:r>
          </w:p>
        </w:tc>
        <w:tc>
          <w:tcPr>
            <w:tcW w:w="915" w:type="dxa"/>
            <w:vAlign w:val="center"/>
          </w:tcPr>
          <w:p>
            <w:pPr>
              <w:snapToGrid w:val="0"/>
              <w:jc w:val="center"/>
              <w:rPr>
                <w:rFonts w:hint="eastAsia" w:ascii="宋体" w:hAnsi="宋体" w:cs="宋体"/>
                <w:bCs/>
                <w:szCs w:val="21"/>
              </w:rPr>
            </w:pPr>
            <w:r>
              <w:rPr>
                <w:rFonts w:hint="eastAsia" w:ascii="宋体" w:hAnsi="宋体" w:cs="宋体"/>
                <w:bCs/>
                <w:szCs w:val="21"/>
              </w:rPr>
              <w:t>15分</w:t>
            </w:r>
          </w:p>
        </w:tc>
        <w:tc>
          <w:tcPr>
            <w:tcW w:w="5312" w:type="dxa"/>
            <w:vAlign w:val="center"/>
          </w:tcPr>
          <w:p>
            <w:pPr>
              <w:snapToGrid w:val="0"/>
              <w:rPr>
                <w:rFonts w:hint="eastAsia" w:ascii="宋体" w:hAnsi="宋体" w:cs="宋体"/>
                <w:bCs/>
                <w:szCs w:val="21"/>
              </w:rPr>
            </w:pPr>
            <w:r>
              <w:rPr>
                <w:rFonts w:hint="eastAsia" w:ascii="宋体" w:hAnsi="宋体" w:cs="宋体"/>
                <w:bCs/>
                <w:szCs w:val="21"/>
              </w:rPr>
              <w:t>第一档，企业基本条件、项目实施团队及人员配备完整、内容齐全，有针对性，得12-15分；</w:t>
            </w:r>
          </w:p>
          <w:p>
            <w:pPr>
              <w:snapToGrid w:val="0"/>
              <w:rPr>
                <w:rFonts w:hint="eastAsia" w:ascii="宋体" w:hAnsi="宋体" w:cs="宋体"/>
                <w:bCs/>
                <w:szCs w:val="21"/>
              </w:rPr>
            </w:pPr>
            <w:r>
              <w:rPr>
                <w:rFonts w:hint="eastAsia" w:ascii="宋体" w:hAnsi="宋体" w:cs="宋体"/>
                <w:bCs/>
                <w:szCs w:val="21"/>
              </w:rPr>
              <w:t>第二档，企业基本条件、项目实施团队及人员配备较科学合理，总体方案较完整，得9-12分；</w:t>
            </w:r>
          </w:p>
          <w:p>
            <w:pPr>
              <w:snapToGrid w:val="0"/>
              <w:rPr>
                <w:rFonts w:hint="eastAsia" w:ascii="宋体" w:hAnsi="宋体" w:cs="宋体"/>
                <w:bCs/>
                <w:szCs w:val="21"/>
              </w:rPr>
            </w:pPr>
            <w:r>
              <w:rPr>
                <w:rFonts w:hint="eastAsia" w:ascii="宋体" w:hAnsi="宋体" w:cs="宋体"/>
                <w:bCs/>
                <w:szCs w:val="21"/>
              </w:rPr>
              <w:t>第三档，企业基本条件、项目实施团队及人员配备基本合理，总体方案简单，得9分。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cs="宋体"/>
                <w:bCs/>
                <w:szCs w:val="21"/>
              </w:rPr>
            </w:pPr>
          </w:p>
        </w:tc>
        <w:tc>
          <w:tcPr>
            <w:tcW w:w="1718" w:type="dxa"/>
            <w:tcBorders>
              <w:left w:val="single" w:color="auto" w:sz="2" w:space="0"/>
            </w:tcBorders>
            <w:vAlign w:val="center"/>
          </w:tcPr>
          <w:p>
            <w:pPr>
              <w:snapToGrid w:val="0"/>
              <w:jc w:val="center"/>
              <w:rPr>
                <w:rFonts w:hint="eastAsia" w:ascii="宋体" w:hAnsi="宋体" w:cs="宋体"/>
                <w:bCs/>
                <w:szCs w:val="21"/>
              </w:rPr>
            </w:pPr>
            <w:r>
              <w:rPr>
                <w:rFonts w:hint="eastAsia" w:ascii="宋体" w:hAnsi="宋体" w:cs="宋体"/>
                <w:kern w:val="0"/>
                <w:szCs w:val="21"/>
              </w:rPr>
              <w:t>整体工作方案</w:t>
            </w:r>
          </w:p>
        </w:tc>
        <w:tc>
          <w:tcPr>
            <w:tcW w:w="915" w:type="dxa"/>
            <w:vAlign w:val="center"/>
          </w:tcPr>
          <w:p>
            <w:pPr>
              <w:snapToGrid w:val="0"/>
              <w:jc w:val="center"/>
              <w:rPr>
                <w:rFonts w:hint="eastAsia" w:ascii="宋体" w:hAnsi="宋体" w:cs="宋体"/>
                <w:bCs/>
                <w:szCs w:val="21"/>
              </w:rPr>
            </w:pPr>
            <w:r>
              <w:rPr>
                <w:rFonts w:hint="eastAsia" w:ascii="宋体" w:hAnsi="宋体" w:cs="宋体"/>
                <w:bCs/>
                <w:szCs w:val="21"/>
              </w:rPr>
              <w:t>15分</w:t>
            </w:r>
          </w:p>
        </w:tc>
        <w:tc>
          <w:tcPr>
            <w:tcW w:w="5312" w:type="dxa"/>
            <w:vAlign w:val="center"/>
          </w:tcPr>
          <w:p>
            <w:pPr>
              <w:snapToGrid w:val="0"/>
              <w:rPr>
                <w:rFonts w:hint="eastAsia" w:ascii="宋体" w:hAnsi="宋体" w:cs="宋体"/>
                <w:bCs/>
                <w:szCs w:val="21"/>
              </w:rPr>
            </w:pPr>
            <w:r>
              <w:rPr>
                <w:rFonts w:hint="eastAsia" w:ascii="宋体" w:hAnsi="宋体" w:cs="宋体"/>
                <w:bCs/>
                <w:szCs w:val="21"/>
              </w:rPr>
              <w:t>第一档，整体工作方案科学合理，内容详细，得12-15分；</w:t>
            </w:r>
          </w:p>
          <w:p>
            <w:pPr>
              <w:snapToGrid w:val="0"/>
              <w:rPr>
                <w:rFonts w:hint="eastAsia" w:ascii="宋体" w:hAnsi="宋体" w:cs="宋体"/>
                <w:bCs/>
                <w:szCs w:val="21"/>
              </w:rPr>
            </w:pPr>
            <w:r>
              <w:rPr>
                <w:rFonts w:hint="eastAsia" w:ascii="宋体" w:hAnsi="宋体" w:cs="宋体"/>
                <w:bCs/>
                <w:szCs w:val="21"/>
              </w:rPr>
              <w:t>第二档，整体工作方案较科学合理，内容较详细，得9-12分；</w:t>
            </w:r>
          </w:p>
          <w:p>
            <w:pPr>
              <w:snapToGrid w:val="0"/>
              <w:rPr>
                <w:rFonts w:hint="eastAsia" w:ascii="宋体" w:hAnsi="宋体" w:cs="宋体"/>
                <w:bCs/>
                <w:szCs w:val="21"/>
              </w:rPr>
            </w:pPr>
            <w:r>
              <w:rPr>
                <w:rFonts w:hint="eastAsia" w:ascii="宋体" w:hAnsi="宋体" w:cs="宋体"/>
                <w:bCs/>
                <w:szCs w:val="21"/>
              </w:rPr>
              <w:t>第三档，整体工作方案基本合理，内容简单，得9分。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77" w:hRule="exact"/>
          <w:jc w:val="center"/>
        </w:trPr>
        <w:tc>
          <w:tcPr>
            <w:tcW w:w="735" w:type="dxa"/>
            <w:vMerge w:val="continue"/>
            <w:tcBorders>
              <w:right w:val="single" w:color="auto" w:sz="2" w:space="0"/>
            </w:tcBorders>
            <w:vAlign w:val="center"/>
          </w:tcPr>
          <w:p>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cs="宋体"/>
                <w:bCs/>
                <w:szCs w:val="21"/>
              </w:rPr>
            </w:pPr>
          </w:p>
        </w:tc>
        <w:tc>
          <w:tcPr>
            <w:tcW w:w="1718" w:type="dxa"/>
            <w:tcBorders>
              <w:left w:val="single" w:color="auto" w:sz="2" w:space="0"/>
            </w:tcBorders>
            <w:vAlign w:val="center"/>
          </w:tcPr>
          <w:p>
            <w:pPr>
              <w:snapToGrid w:val="0"/>
              <w:jc w:val="center"/>
              <w:rPr>
                <w:rFonts w:hint="eastAsia" w:ascii="宋体" w:hAnsi="宋体" w:cs="宋体"/>
                <w:bCs/>
                <w:szCs w:val="21"/>
              </w:rPr>
            </w:pPr>
            <w:r>
              <w:rPr>
                <w:rFonts w:hint="eastAsia" w:ascii="宋体" w:hAnsi="宋体" w:cs="宋体"/>
                <w:kern w:val="0"/>
                <w:szCs w:val="21"/>
              </w:rPr>
              <w:t>服务质量保证措施、服务进度保证措施及服务安全保证措施</w:t>
            </w:r>
          </w:p>
        </w:tc>
        <w:tc>
          <w:tcPr>
            <w:tcW w:w="915" w:type="dxa"/>
            <w:vAlign w:val="center"/>
          </w:tcPr>
          <w:p>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312" w:type="dxa"/>
            <w:vAlign w:val="center"/>
          </w:tcPr>
          <w:p>
            <w:pPr>
              <w:snapToGrid w:val="0"/>
              <w:rPr>
                <w:rFonts w:hint="eastAsia" w:ascii="宋体" w:hAnsi="宋体" w:cs="宋体"/>
                <w:bCs/>
                <w:szCs w:val="21"/>
              </w:rPr>
            </w:pPr>
            <w:r>
              <w:rPr>
                <w:rFonts w:hint="eastAsia" w:ascii="宋体" w:hAnsi="宋体" w:cs="宋体"/>
                <w:bCs/>
                <w:szCs w:val="21"/>
              </w:rPr>
              <w:t>第一档，服务质量保证措施、服务进度保证措施及服务安全保证措施科学合理、完善可行、有针对性，得</w:t>
            </w:r>
            <w:r>
              <w:rPr>
                <w:rFonts w:ascii="宋体" w:hAnsi="宋体" w:cs="宋体"/>
                <w:bCs/>
                <w:szCs w:val="21"/>
              </w:rPr>
              <w:t>8-10</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第二档，服务质量保证措施、服务进度保证措施及服务安全保证措施较科学、较完善可行、较有针对性，得</w:t>
            </w:r>
            <w:r>
              <w:rPr>
                <w:rFonts w:ascii="宋体" w:hAnsi="宋体" w:cs="宋体"/>
                <w:bCs/>
                <w:szCs w:val="21"/>
              </w:rPr>
              <w:t>6-8</w:t>
            </w:r>
            <w:r>
              <w:rPr>
                <w:rFonts w:hint="eastAsia" w:ascii="宋体" w:hAnsi="宋体" w:cs="宋体"/>
                <w:bCs/>
                <w:szCs w:val="21"/>
              </w:rPr>
              <w:t>分；</w:t>
            </w:r>
          </w:p>
          <w:p>
            <w:pPr>
              <w:snapToGrid w:val="0"/>
              <w:rPr>
                <w:rFonts w:hint="eastAsia" w:ascii="宋体" w:hAnsi="宋体" w:cs="宋体"/>
                <w:bCs/>
                <w:szCs w:val="21"/>
              </w:rPr>
            </w:pPr>
            <w:r>
              <w:rPr>
                <w:rFonts w:hint="eastAsia" w:ascii="宋体" w:hAnsi="宋体" w:cs="宋体"/>
                <w:bCs/>
                <w:szCs w:val="21"/>
              </w:rPr>
              <w:t>第三档，服务质量保证措施、服务进度保证措施及服务安全保证措施一般，得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90" w:hRule="exact"/>
          <w:jc w:val="center"/>
        </w:trPr>
        <w:tc>
          <w:tcPr>
            <w:tcW w:w="735" w:type="dxa"/>
            <w:vMerge w:val="continue"/>
            <w:tcBorders>
              <w:right w:val="single" w:color="auto" w:sz="2" w:space="0"/>
            </w:tcBorders>
            <w:vAlign w:val="center"/>
          </w:tcPr>
          <w:p>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hint="eastAsia" w:ascii="宋体" w:hAnsi="宋体" w:cs="宋体"/>
                <w:bCs/>
                <w:szCs w:val="21"/>
              </w:rPr>
            </w:pPr>
          </w:p>
        </w:tc>
        <w:tc>
          <w:tcPr>
            <w:tcW w:w="1718" w:type="dxa"/>
            <w:tcBorders>
              <w:left w:val="single" w:color="auto" w:sz="2" w:space="0"/>
            </w:tcBorders>
            <w:vAlign w:val="center"/>
          </w:tcPr>
          <w:p>
            <w:pPr>
              <w:snapToGrid w:val="0"/>
              <w:jc w:val="center"/>
              <w:rPr>
                <w:rFonts w:hint="eastAsia" w:ascii="宋体" w:hAnsi="宋体" w:cs="宋体"/>
                <w:bCs/>
                <w:szCs w:val="21"/>
              </w:rPr>
            </w:pPr>
            <w:r>
              <w:rPr>
                <w:rFonts w:hint="eastAsia" w:ascii="宋体" w:hAnsi="宋体" w:cs="宋体"/>
                <w:kern w:val="0"/>
                <w:szCs w:val="21"/>
              </w:rPr>
              <w:t>服务承诺、后续服务安排及保证措施</w:t>
            </w:r>
          </w:p>
        </w:tc>
        <w:tc>
          <w:tcPr>
            <w:tcW w:w="915" w:type="dxa"/>
            <w:vAlign w:val="center"/>
          </w:tcPr>
          <w:p>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312" w:type="dxa"/>
            <w:vAlign w:val="center"/>
          </w:tcPr>
          <w:p>
            <w:pPr>
              <w:snapToGrid w:val="0"/>
              <w:rPr>
                <w:rFonts w:hint="eastAsia" w:ascii="宋体" w:hAnsi="宋体" w:cs="宋体"/>
                <w:bCs/>
                <w:szCs w:val="21"/>
              </w:rPr>
            </w:pPr>
            <w:r>
              <w:rPr>
                <w:rFonts w:hint="eastAsia" w:ascii="宋体" w:hAnsi="宋体" w:cs="宋体"/>
                <w:bCs/>
                <w:szCs w:val="21"/>
              </w:rPr>
              <w:t>第一档，</w:t>
            </w:r>
            <w:r>
              <w:rPr>
                <w:rFonts w:hint="eastAsia" w:ascii="宋体" w:hAnsi="宋体" w:cs="宋体"/>
                <w:kern w:val="0"/>
                <w:szCs w:val="21"/>
              </w:rPr>
              <w:t>服务承诺、后续服务安排及保证措施</w:t>
            </w:r>
            <w:r>
              <w:rPr>
                <w:rFonts w:hint="eastAsia" w:ascii="宋体" w:hAnsi="宋体" w:cs="宋体"/>
                <w:bCs/>
                <w:szCs w:val="21"/>
              </w:rPr>
              <w:t>系统全面、科学合理，得8-10分；</w:t>
            </w:r>
          </w:p>
          <w:p>
            <w:pPr>
              <w:snapToGrid w:val="0"/>
              <w:rPr>
                <w:rFonts w:hint="eastAsia" w:ascii="宋体" w:hAnsi="宋体" w:cs="宋体"/>
                <w:bCs/>
                <w:szCs w:val="21"/>
              </w:rPr>
            </w:pPr>
            <w:r>
              <w:rPr>
                <w:rFonts w:hint="eastAsia" w:ascii="宋体" w:hAnsi="宋体" w:cs="宋体"/>
                <w:bCs/>
                <w:szCs w:val="21"/>
              </w:rPr>
              <w:t>第二档，</w:t>
            </w:r>
            <w:r>
              <w:rPr>
                <w:rFonts w:hint="eastAsia" w:ascii="宋体" w:hAnsi="宋体" w:cs="宋体"/>
                <w:kern w:val="0"/>
                <w:szCs w:val="21"/>
              </w:rPr>
              <w:t>服务承诺、后续服务安排及保证措施</w:t>
            </w:r>
            <w:r>
              <w:rPr>
                <w:rFonts w:hint="eastAsia" w:ascii="宋体" w:hAnsi="宋体" w:cs="宋体"/>
                <w:bCs/>
                <w:szCs w:val="21"/>
              </w:rPr>
              <w:t>较完整、较科学，得6-8分；</w:t>
            </w:r>
          </w:p>
          <w:p>
            <w:pPr>
              <w:snapToGrid w:val="0"/>
              <w:rPr>
                <w:rFonts w:hint="eastAsia" w:ascii="宋体" w:hAnsi="宋体" w:cs="宋体"/>
                <w:bCs/>
                <w:szCs w:val="21"/>
              </w:rPr>
            </w:pPr>
            <w:r>
              <w:rPr>
                <w:rFonts w:hint="eastAsia" w:ascii="宋体" w:hAnsi="宋体" w:cs="宋体"/>
                <w:bCs/>
                <w:szCs w:val="21"/>
              </w:rPr>
              <w:t>第三档，</w:t>
            </w:r>
            <w:r>
              <w:rPr>
                <w:rFonts w:hint="eastAsia" w:ascii="宋体" w:hAnsi="宋体" w:cs="宋体"/>
                <w:kern w:val="0"/>
                <w:szCs w:val="21"/>
              </w:rPr>
              <w:t>服务承诺、后续服务安排及保证措施</w:t>
            </w:r>
            <w:r>
              <w:rPr>
                <w:rFonts w:hint="eastAsia" w:ascii="宋体" w:hAnsi="宋体" w:cs="宋体"/>
                <w:bCs/>
                <w:szCs w:val="21"/>
              </w:rPr>
              <w:t>基本完整或基本合理，得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snapToGrid w:val="0"/>
              <w:jc w:val="center"/>
              <w:rPr>
                <w:rFonts w:hint="eastAsia" w:ascii="宋体" w:hAnsi="宋体" w:cs="宋体"/>
                <w:bCs/>
                <w:szCs w:val="21"/>
              </w:rPr>
            </w:pPr>
            <w:r>
              <w:rPr>
                <w:rFonts w:ascii="宋体" w:hAnsi="宋体" w:cs="宋体"/>
                <w:bCs/>
                <w:szCs w:val="21"/>
              </w:rPr>
              <w:t>2.2.4</w:t>
            </w:r>
            <w:r>
              <w:rPr>
                <w:rFonts w:hint="eastAsia" w:ascii="宋体" w:hAnsi="宋体" w:cs="宋体"/>
                <w:bCs/>
                <w:szCs w:val="21"/>
              </w:rPr>
              <w:t>（4）</w:t>
            </w:r>
          </w:p>
        </w:tc>
        <w:tc>
          <w:tcPr>
            <w:tcW w:w="2748" w:type="dxa"/>
            <w:gridSpan w:val="2"/>
            <w:tcBorders>
              <w:left w:val="single" w:color="auto" w:sz="2" w:space="0"/>
            </w:tcBorders>
            <w:vAlign w:val="center"/>
          </w:tcPr>
          <w:p>
            <w:pPr>
              <w:jc w:val="center"/>
              <w:rPr>
                <w:rFonts w:hint="eastAsia" w:ascii="宋体" w:hAnsi="宋体" w:cs="宋体"/>
                <w:bCs/>
                <w:szCs w:val="21"/>
              </w:rPr>
            </w:pPr>
            <w:r>
              <w:rPr>
                <w:rFonts w:hint="eastAsia" w:ascii="宋体" w:hAnsi="宋体" w:cs="宋体"/>
                <w:bCs/>
                <w:szCs w:val="21"/>
              </w:rPr>
              <w:t>评标价</w:t>
            </w:r>
          </w:p>
        </w:tc>
        <w:tc>
          <w:tcPr>
            <w:tcW w:w="915" w:type="dxa"/>
            <w:vAlign w:val="center"/>
          </w:tcPr>
          <w:p>
            <w:pPr>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312" w:type="dxa"/>
            <w:vAlign w:val="center"/>
          </w:tcPr>
          <w:p>
            <w:pPr>
              <w:rPr>
                <w:rFonts w:hint="eastAsia" w:ascii="宋体" w:hAnsi="宋体"/>
                <w:szCs w:val="21"/>
              </w:rPr>
            </w:pPr>
            <w:r>
              <w:rPr>
                <w:rFonts w:hint="eastAsia" w:ascii="宋体" w:hAnsi="宋体"/>
                <w:szCs w:val="21"/>
              </w:rPr>
              <w:t>评标价得分计算公式示例：</w:t>
            </w:r>
          </w:p>
          <w:p>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hint="eastAsia" w:ascii="宋体" w:hAnsi="宋体"/>
                <w:szCs w:val="21"/>
              </w:rPr>
            </w:pPr>
            <w:r>
              <w:rPr>
                <w:rFonts w:hint="eastAsia" w:ascii="宋体" w:hAnsi="宋体"/>
                <w:szCs w:val="21"/>
              </w:rPr>
              <w:t>其中，F=30；E1=0.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pPr>
              <w:ind w:firstLine="243" w:firstLineChars="116"/>
              <w:rPr>
                <w:szCs w:val="21"/>
              </w:rPr>
            </w:pPr>
            <w:r>
              <w:rPr>
                <w:rFonts w:hint="eastAsia" w:ascii="宋体" w:hAnsi="宋体"/>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3483" w:type="dxa"/>
            <w:gridSpan w:val="3"/>
            <w:vAlign w:val="center"/>
          </w:tcPr>
          <w:p>
            <w:pPr>
              <w:jc w:val="center"/>
              <w:rPr>
                <w:rFonts w:hint="eastAsia" w:ascii="宋体" w:hAnsi="宋体" w:cs="宋体"/>
                <w:bCs/>
                <w:szCs w:val="21"/>
              </w:rPr>
            </w:pPr>
            <w:r>
              <w:rPr>
                <w:rFonts w:hint="eastAsia" w:ascii="宋体" w:hAnsi="宋体" w:cs="宋体"/>
                <w:bCs/>
                <w:szCs w:val="21"/>
              </w:rPr>
              <w:t>合计</w:t>
            </w:r>
          </w:p>
        </w:tc>
        <w:tc>
          <w:tcPr>
            <w:tcW w:w="915" w:type="dxa"/>
            <w:vAlign w:val="center"/>
          </w:tcPr>
          <w:p>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312" w:type="dxa"/>
            <w:vAlign w:val="center"/>
          </w:tcPr>
          <w:p>
            <w:pPr>
              <w:jc w:val="center"/>
              <w:rPr>
                <w:rFonts w:hint="eastAsia" w:ascii="宋体" w:hAnsi="宋体" w:cs="宋体"/>
                <w:bCs/>
                <w:szCs w:val="21"/>
              </w:rPr>
            </w:pPr>
          </w:p>
        </w:tc>
      </w:tr>
    </w:tbl>
    <w:p>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r>
        <w:rPr>
          <w:rFonts w:hint="eastAsia" w:ascii="宋体" w:hAnsi="宋体"/>
          <w:szCs w:val="21"/>
        </w:rPr>
        <w:t>2、服务方案缺项则该项得0分。</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TkyNzRlNTk0YzUyMzVlMmI0YzliZDMxZjJjOTQifQ=="/>
    <w:docVar w:name="KSO_WPS_MARK_KEY" w:val="a05b5a62-7356-4d12-b9f6-889a48cd7752"/>
  </w:docVars>
  <w:rsids>
    <w:rsidRoot w:val="00000000"/>
    <w:rsid w:val="669C09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9"/>
    <w:pPr>
      <w:keepNext/>
      <w:keepLines/>
      <w:spacing w:before="260" w:after="260" w:line="416" w:lineRule="auto"/>
      <w:outlineLvl w:val="2"/>
    </w:pPr>
    <w:rPr>
      <w:b/>
      <w:kern w:val="0"/>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ind w:left="153"/>
      <w:jc w:val="left"/>
    </w:pPr>
    <w:rPr>
      <w:rFonts w:ascii="宋体" w:hAnsi="宋体"/>
      <w:kern w:val="0"/>
      <w:sz w:val="23"/>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hou</dc:creator>
  <cp:lastModifiedBy>侯爱泉</cp:lastModifiedBy>
  <dcterms:modified xsi:type="dcterms:W3CDTF">2024-08-09T02:07:53Z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64E770AD71FB4C80BDF55471025E021D_12</vt:lpwstr>
  </property>
</Properties>
</file>