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66229">
      <w:pPr>
        <w:adjustRightInd w:val="0"/>
        <w:snapToGrid w:val="0"/>
        <w:spacing w:line="360" w:lineRule="auto"/>
        <w:jc w:val="left"/>
        <w:rPr>
          <w:rFonts w:hint="eastAsia"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14:paraId="1170B895">
      <w:pPr>
        <w:pStyle w:val="4"/>
        <w:spacing w:line="300" w:lineRule="exact"/>
        <w:jc w:val="center"/>
        <w:rPr>
          <w:rFonts w:hint="eastAsia" w:ascii="宋体" w:hAnsi="宋体"/>
          <w:sz w:val="24"/>
          <w:szCs w:val="24"/>
        </w:rPr>
      </w:pPr>
      <w:r>
        <w:rPr>
          <w:rFonts w:hint="eastAsia" w:ascii="宋体" w:hAnsi="宋体"/>
          <w:sz w:val="24"/>
          <w:szCs w:val="24"/>
        </w:rPr>
        <w:t>附录1 资格审查条件（资质最低要求）</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14:paraId="5E9E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2C65F616">
            <w:pPr>
              <w:spacing w:before="100" w:beforeAutospacing="1" w:after="100" w:afterAutospacing="1"/>
              <w:jc w:val="center"/>
              <w:rPr>
                <w:rFonts w:hint="eastAsia" w:ascii="宋体" w:hAnsi="宋体"/>
                <w:szCs w:val="21"/>
              </w:rPr>
            </w:pPr>
            <w:bookmarkStart w:id="0" w:name="OLE_LINK2"/>
            <w:r>
              <w:rPr>
                <w:rFonts w:hint="eastAsia" w:ascii="宋体" w:hAnsi="宋体"/>
                <w:szCs w:val="21"/>
              </w:rPr>
              <w:t>资质等级要求</w:t>
            </w:r>
          </w:p>
        </w:tc>
      </w:tr>
      <w:tr w14:paraId="69D3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2"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14:paraId="390AAE75">
            <w:pPr>
              <w:spacing w:line="288" w:lineRule="auto"/>
              <w:ind w:firstLine="420" w:firstLineChars="200"/>
              <w:rPr>
                <w:rFonts w:hint="eastAsia" w:ascii="宋体" w:hAnsi="宋体"/>
                <w:szCs w:val="21"/>
              </w:rPr>
            </w:pPr>
            <w:r>
              <w:rPr>
                <w:rFonts w:hint="eastAsia" w:ascii="宋体" w:hAnsi="宋体"/>
                <w:szCs w:val="21"/>
              </w:rPr>
              <w:t>具备独立企业法人资格，具有有效的营业执照，具有食品经营许可证（或食品经营者备案凭证）。</w:t>
            </w:r>
            <w:r>
              <w:rPr>
                <w:rFonts w:ascii="宋体" w:hAnsi="宋体"/>
                <w:szCs w:val="21"/>
              </w:rPr>
              <w:t xml:space="preserve"> </w:t>
            </w:r>
          </w:p>
        </w:tc>
      </w:tr>
    </w:tbl>
    <w:p w14:paraId="7612336E">
      <w:pPr>
        <w:jc w:val="center"/>
        <w:rPr>
          <w:rFonts w:hint="eastAsia" w:ascii="宋体" w:hAnsi="宋体"/>
          <w:b/>
          <w:sz w:val="28"/>
        </w:rPr>
      </w:pPr>
    </w:p>
    <w:p w14:paraId="334BFCB8">
      <w:pPr>
        <w:pStyle w:val="4"/>
        <w:spacing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5"/>
        <w:tblW w:w="890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14:paraId="5D8A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8904" w:type="dxa"/>
            <w:tcBorders>
              <w:top w:val="single" w:color="auto" w:sz="4" w:space="0"/>
              <w:left w:val="single" w:color="auto" w:sz="4" w:space="0"/>
              <w:bottom w:val="single" w:color="auto" w:sz="4" w:space="0"/>
              <w:right w:val="single" w:color="auto" w:sz="4" w:space="0"/>
            </w:tcBorders>
            <w:vAlign w:val="center"/>
          </w:tcPr>
          <w:p w14:paraId="052AFF21">
            <w:pPr>
              <w:spacing w:line="280" w:lineRule="exact"/>
              <w:jc w:val="center"/>
              <w:rPr>
                <w:rFonts w:hint="eastAsia" w:ascii="宋体" w:hAnsi="宋体"/>
              </w:rPr>
            </w:pPr>
            <w:r>
              <w:rPr>
                <w:rFonts w:hint="eastAsia" w:ascii="宋体" w:hAnsi="宋体"/>
              </w:rPr>
              <w:t>业绩要求</w:t>
            </w:r>
          </w:p>
        </w:tc>
      </w:tr>
      <w:tr w14:paraId="4A2CC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8904" w:type="dxa"/>
            <w:tcBorders>
              <w:top w:val="single" w:color="auto" w:sz="4" w:space="0"/>
              <w:left w:val="single" w:color="auto" w:sz="4" w:space="0"/>
              <w:bottom w:val="single" w:color="auto" w:sz="4" w:space="0"/>
              <w:right w:val="single" w:color="auto" w:sz="4" w:space="0"/>
            </w:tcBorders>
            <w:vAlign w:val="center"/>
          </w:tcPr>
          <w:p w14:paraId="1F6393E0">
            <w:pPr>
              <w:adjustRightInd w:val="0"/>
              <w:snapToGrid w:val="0"/>
              <w:spacing w:line="360" w:lineRule="auto"/>
              <w:ind w:firstLine="420" w:firstLineChars="200"/>
              <w:rPr>
                <w:rFonts w:hint="eastAsia" w:ascii="宋体" w:hAnsi="宋体"/>
                <w:b/>
                <w:bCs/>
                <w:szCs w:val="21"/>
              </w:rPr>
            </w:pPr>
            <w:r>
              <w:rPr>
                <w:rFonts w:hint="eastAsia" w:ascii="宋体" w:hAnsi="宋体"/>
                <w:szCs w:val="21"/>
              </w:rPr>
              <w:t>近5年内（2020年11月1日至今，以合同签订时间为准）至少承担过一项食品（包含米面油）供货业绩。</w:t>
            </w:r>
          </w:p>
        </w:tc>
      </w:tr>
    </w:tbl>
    <w:p w14:paraId="31E0184E">
      <w:pPr>
        <w:jc w:val="center"/>
        <w:rPr>
          <w:rFonts w:hint="eastAsia" w:ascii="宋体" w:hAnsi="宋体"/>
          <w:b/>
          <w:sz w:val="24"/>
        </w:rPr>
      </w:pPr>
    </w:p>
    <w:p w14:paraId="7D112CF8">
      <w:pPr>
        <w:jc w:val="center"/>
        <w:rPr>
          <w:rFonts w:hint="eastAsia" w:ascii="宋体" w:hAnsi="宋体"/>
          <w:b/>
          <w:sz w:val="24"/>
        </w:rPr>
      </w:pPr>
    </w:p>
    <w:p w14:paraId="16F70E9F">
      <w:pPr>
        <w:pStyle w:val="4"/>
        <w:spacing w:before="120" w:line="300" w:lineRule="exact"/>
        <w:jc w:val="center"/>
        <w:rPr>
          <w:rFonts w:hint="eastAsia" w:ascii="宋体" w:hAnsi="宋体"/>
          <w:sz w:val="24"/>
          <w:szCs w:val="24"/>
        </w:rPr>
      </w:pPr>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14:paraId="44F3E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1EF8AC3A">
            <w:pPr>
              <w:spacing w:before="100" w:beforeAutospacing="1" w:after="100" w:afterAutospacing="1"/>
              <w:jc w:val="center"/>
              <w:rPr>
                <w:rFonts w:hint="eastAsia" w:ascii="宋体" w:hAnsi="宋体"/>
                <w:szCs w:val="21"/>
              </w:rPr>
            </w:pPr>
            <w:r>
              <w:rPr>
                <w:rFonts w:hint="eastAsia" w:ascii="宋体" w:hAnsi="宋体"/>
                <w:szCs w:val="21"/>
              </w:rPr>
              <w:t xml:space="preserve">信誉要求 </w:t>
            </w:r>
          </w:p>
        </w:tc>
      </w:tr>
      <w:tr w14:paraId="34C5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14:paraId="5BA3C4E6">
            <w:pPr>
              <w:spacing w:line="288" w:lineRule="auto"/>
              <w:ind w:firstLine="420" w:firstLineChars="200"/>
              <w:rPr>
                <w:rFonts w:hint="eastAsia" w:ascii="宋体" w:hAnsi="宋体"/>
              </w:rPr>
            </w:pPr>
            <w:r>
              <w:rPr>
                <w:rFonts w:hint="eastAsia" w:ascii="宋体" w:hAnsi="宋体"/>
              </w:rPr>
              <w:t>投标人在近1年内(20</w:t>
            </w:r>
            <w:r>
              <w:rPr>
                <w:rFonts w:ascii="宋体" w:hAnsi="宋体"/>
              </w:rPr>
              <w:t>2</w:t>
            </w:r>
            <w:r>
              <w:rPr>
                <w:rFonts w:hint="eastAsia" w:ascii="宋体" w:hAnsi="宋体"/>
              </w:rPr>
              <w:t>4年11</w:t>
            </w:r>
            <w:r>
              <w:rPr>
                <w:rFonts w:ascii="宋体" w:hAnsi="宋体"/>
              </w:rPr>
              <w:t>月</w:t>
            </w:r>
            <w:r>
              <w:rPr>
                <w:rFonts w:hint="eastAsia" w:ascii="宋体" w:hAnsi="宋体"/>
              </w:rPr>
              <w:t>1日至今)</w:t>
            </w:r>
            <w:r>
              <w:rPr>
                <w:rFonts w:hint="eastAsia" w:ascii="宋体" w:hAnsi="宋体"/>
                <w:szCs w:val="21"/>
              </w:rPr>
              <w:t>不曾在食品供货合同中违约而被驱逐或因投标人自身的原因而使食品供货合同被解除。</w:t>
            </w:r>
          </w:p>
        </w:tc>
      </w:tr>
      <w:bookmarkEnd w:id="0"/>
    </w:tbl>
    <w:p w14:paraId="1C587A4D">
      <w:pPr>
        <w:spacing w:line="360" w:lineRule="exact"/>
        <w:jc w:val="left"/>
        <w:rPr>
          <w:rFonts w:hint="eastAsia" w:ascii="宋体" w:hAnsi="宋体"/>
          <w:b/>
          <w:sz w:val="24"/>
        </w:rPr>
      </w:pPr>
    </w:p>
    <w:p w14:paraId="095897C5">
      <w:pPr>
        <w:spacing w:line="360" w:lineRule="exact"/>
        <w:jc w:val="left"/>
        <w:rPr>
          <w:rFonts w:hint="eastAsia" w:ascii="宋体" w:hAnsi="宋体"/>
          <w:b/>
          <w:sz w:val="24"/>
        </w:rPr>
      </w:pPr>
    </w:p>
    <w:p w14:paraId="26C31219">
      <w:pPr>
        <w:adjustRightInd w:val="0"/>
        <w:spacing w:line="400" w:lineRule="atLeast"/>
        <w:ind w:firstLine="367" w:firstLineChars="175"/>
        <w:rPr>
          <w:rFonts w:hint="eastAsia" w:ascii="宋体" w:hAnsi="宋体"/>
          <w:sz w:val="24"/>
          <w:szCs w:val="24"/>
        </w:rPr>
      </w:pPr>
      <w:r>
        <w:rPr>
          <w:rFonts w:ascii="宋体" w:hAnsi="宋体"/>
        </w:rPr>
        <w:br w:type="page"/>
      </w:r>
      <w:r>
        <w:rPr>
          <w:rFonts w:hint="eastAsia" w:ascii="宋体" w:hAnsi="宋体"/>
          <w:sz w:val="24"/>
          <w:szCs w:val="24"/>
        </w:rPr>
        <w:t>附件2：评标办法</w:t>
      </w:r>
    </w:p>
    <w:p w14:paraId="2499FF08">
      <w:pPr>
        <w:rPr>
          <w:rFonts w:hint="eastAsia"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5"/>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14:paraId="12C4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14:paraId="42D9A75A">
            <w:pPr>
              <w:spacing w:before="100" w:beforeAutospacing="1" w:after="100" w:afterAutospacing="1"/>
              <w:jc w:val="center"/>
              <w:rPr>
                <w:rFonts w:hint="eastAsia" w:ascii="宋体" w:hAnsi="宋体"/>
                <w:szCs w:val="21"/>
              </w:rPr>
            </w:pPr>
            <w:bookmarkStart w:id="1" w:name="OLE_LINK3"/>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14:paraId="32F6128B">
            <w:pPr>
              <w:spacing w:before="100" w:beforeAutospacing="1" w:after="100" w:afterAutospacing="1"/>
              <w:jc w:val="center"/>
              <w:rPr>
                <w:rFonts w:hint="eastAsia"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14:paraId="25323916">
            <w:pPr>
              <w:spacing w:before="100" w:beforeAutospacing="1" w:after="100" w:afterAutospacing="1"/>
              <w:jc w:val="center"/>
              <w:rPr>
                <w:rFonts w:hint="eastAsia" w:ascii="宋体" w:hAnsi="宋体"/>
                <w:szCs w:val="21"/>
              </w:rPr>
            </w:pPr>
            <w:r>
              <w:rPr>
                <w:rFonts w:hint="eastAsia" w:ascii="宋体" w:hAnsi="宋体"/>
                <w:szCs w:val="21"/>
              </w:rPr>
              <w:t xml:space="preserve">评审因素与评审标准 </w:t>
            </w:r>
          </w:p>
        </w:tc>
      </w:tr>
      <w:tr w14:paraId="25AF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22C4694E">
            <w:pPr>
              <w:spacing w:before="100" w:beforeAutospacing="1" w:after="100" w:afterAutospacing="1"/>
              <w:jc w:val="center"/>
              <w:rPr>
                <w:rFonts w:hint="eastAsia"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14:paraId="6408A74E">
            <w:pPr>
              <w:spacing w:before="100" w:beforeAutospacing="1" w:after="100" w:afterAutospacing="1"/>
              <w:jc w:val="center"/>
              <w:rPr>
                <w:rFonts w:hint="eastAsia"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14:paraId="3B075099">
            <w:pPr>
              <w:widowControl/>
              <w:spacing w:line="360" w:lineRule="exact"/>
              <w:ind w:firstLine="420" w:firstLineChars="200"/>
              <w:jc w:val="left"/>
              <w:rPr>
                <w:rFonts w:hint="eastAsia" w:ascii="宋体" w:hAnsi="宋体"/>
                <w:szCs w:val="21"/>
              </w:rPr>
            </w:pPr>
            <w:r>
              <w:rPr>
                <w:rFonts w:hint="eastAsia" w:ascii="宋体" w:hAnsi="宋体"/>
                <w:szCs w:val="21"/>
              </w:rPr>
              <w:t>本次评标采用综合评估法，评标委员会对满足招标文件实质性要求的投标文件，按照本章第2.2款规定的评分标准进行打分，并按得分由高到低顺序推荐1-</w:t>
            </w:r>
            <w:r>
              <w:rPr>
                <w:rFonts w:ascii="宋体" w:hAnsi="宋体"/>
                <w:szCs w:val="21"/>
              </w:rPr>
              <w:t>3</w:t>
            </w:r>
            <w:r>
              <w:rPr>
                <w:rFonts w:hint="eastAsia" w:ascii="宋体" w:hAnsi="宋体"/>
                <w:szCs w:val="21"/>
              </w:rPr>
              <w:t>名中标候选人；综合评分相等时，评标委员会依次按照以下优先顺序推荐中标候选人：</w:t>
            </w:r>
          </w:p>
          <w:p w14:paraId="22ABE1B0">
            <w:pPr>
              <w:widowControl/>
              <w:spacing w:line="360" w:lineRule="exact"/>
              <w:ind w:firstLine="420" w:firstLineChars="200"/>
              <w:jc w:val="left"/>
              <w:rPr>
                <w:rFonts w:hint="eastAsia" w:ascii="宋体" w:hAnsi="宋体"/>
                <w:szCs w:val="21"/>
              </w:rPr>
            </w:pPr>
            <w:r>
              <w:rPr>
                <w:rFonts w:hint="eastAsia" w:ascii="宋体" w:hAnsi="宋体"/>
                <w:szCs w:val="21"/>
              </w:rPr>
              <w:t>（1）评标价低的投标人优先；</w:t>
            </w:r>
          </w:p>
          <w:p w14:paraId="36FDEA30">
            <w:pPr>
              <w:widowControl/>
              <w:spacing w:line="360" w:lineRule="exact"/>
              <w:ind w:firstLine="420" w:firstLineChars="200"/>
              <w:jc w:val="left"/>
              <w:rPr>
                <w:rFonts w:hint="eastAsia" w:ascii="宋体" w:hAnsi="宋体"/>
                <w:szCs w:val="21"/>
              </w:rPr>
            </w:pPr>
            <w:r>
              <w:rPr>
                <w:rFonts w:hint="eastAsia" w:ascii="宋体" w:hAnsi="宋体"/>
                <w:szCs w:val="21"/>
              </w:rPr>
              <w:t>（2）技术得分较高的投标人优先；</w:t>
            </w:r>
          </w:p>
          <w:p w14:paraId="460E17B1">
            <w:pPr>
              <w:widowControl/>
              <w:spacing w:line="360" w:lineRule="exact"/>
              <w:ind w:firstLine="420" w:firstLineChars="200"/>
              <w:jc w:val="left"/>
              <w:rPr>
                <w:rFonts w:hint="eastAsia" w:ascii="宋体" w:hAnsi="宋体"/>
                <w:szCs w:val="21"/>
              </w:rPr>
            </w:pPr>
            <w:r>
              <w:rPr>
                <w:rFonts w:hint="eastAsia" w:ascii="宋体" w:hAnsi="宋体"/>
                <w:szCs w:val="21"/>
              </w:rPr>
              <w:t>（3）满足资格审查条件(业绩最低要求)的</w:t>
            </w:r>
            <w:r>
              <w:rPr>
                <w:rFonts w:hint="eastAsia" w:ascii="宋体" w:hAnsi="宋体" w:cs="宋体"/>
                <w:bCs/>
                <w:szCs w:val="21"/>
              </w:rPr>
              <w:t>业绩</w:t>
            </w:r>
            <w:r>
              <w:rPr>
                <w:rFonts w:hint="eastAsia" w:ascii="宋体" w:hAnsi="宋体"/>
                <w:szCs w:val="21"/>
              </w:rPr>
              <w:t xml:space="preserve">累计金额高的优先。 </w:t>
            </w:r>
          </w:p>
        </w:tc>
      </w:tr>
      <w:tr w14:paraId="7043C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61DEE36C">
            <w:pPr>
              <w:spacing w:before="100" w:beforeAutospacing="1" w:after="100" w:afterAutospacing="1"/>
              <w:jc w:val="center"/>
              <w:rPr>
                <w:rFonts w:hint="eastAsia" w:ascii="宋体" w:hAnsi="宋体"/>
                <w:szCs w:val="21"/>
              </w:rPr>
            </w:pPr>
            <w:r>
              <w:rPr>
                <w:rFonts w:hint="eastAsia" w:ascii="宋体" w:hAnsi="宋体"/>
                <w:szCs w:val="21"/>
              </w:rPr>
              <w:t>2.1.1</w:t>
            </w:r>
          </w:p>
          <w:p w14:paraId="3EC7822C">
            <w:pPr>
              <w:spacing w:before="100" w:beforeAutospacing="1" w:after="100" w:afterAutospacing="1"/>
              <w:jc w:val="center"/>
              <w:rPr>
                <w:rFonts w:hint="eastAsia"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14:paraId="06D9A6F5">
            <w:pPr>
              <w:spacing w:before="100" w:beforeAutospacing="1" w:after="100" w:afterAutospacing="1"/>
              <w:jc w:val="center"/>
              <w:rPr>
                <w:rFonts w:hint="eastAsia"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66E6B7BA">
            <w:pPr>
              <w:tabs>
                <w:tab w:val="left" w:pos="3060"/>
              </w:tabs>
              <w:spacing w:line="320" w:lineRule="exact"/>
              <w:rPr>
                <w:rFonts w:hint="eastAsia" w:ascii="宋体" w:hAnsi="宋体"/>
                <w:b/>
                <w:szCs w:val="21"/>
              </w:rPr>
            </w:pPr>
            <w:r>
              <w:rPr>
                <w:rFonts w:hint="eastAsia" w:ascii="宋体" w:hAnsi="宋体"/>
                <w:b/>
                <w:szCs w:val="21"/>
              </w:rPr>
              <w:t>第一个信封（商务及技术文件）评审标准:</w:t>
            </w:r>
          </w:p>
          <w:p w14:paraId="3C2359A6">
            <w:pPr>
              <w:widowControl/>
              <w:spacing w:line="360" w:lineRule="exact"/>
              <w:ind w:firstLine="420" w:firstLineChars="200"/>
              <w:jc w:val="left"/>
              <w:rPr>
                <w:rFonts w:hint="eastAsia" w:ascii="宋体" w:hAnsi="宋体"/>
                <w:szCs w:val="21"/>
              </w:rPr>
            </w:pPr>
            <w:r>
              <w:rPr>
                <w:rFonts w:hint="eastAsia" w:ascii="宋体" w:hAnsi="宋体"/>
                <w:szCs w:val="21"/>
              </w:rPr>
              <w:t>（1）投标文件按照招标文件规定的格式、内容填写，字迹清晰可辨：</w:t>
            </w:r>
          </w:p>
          <w:p w14:paraId="3333118B">
            <w:pPr>
              <w:widowControl/>
              <w:spacing w:line="360" w:lineRule="exact"/>
              <w:ind w:firstLine="420" w:firstLineChars="200"/>
              <w:jc w:val="left"/>
              <w:rPr>
                <w:rFonts w:hint="eastAsia" w:ascii="宋体" w:hAnsi="宋体"/>
                <w:szCs w:val="21"/>
              </w:rPr>
            </w:pPr>
            <w:r>
              <w:rPr>
                <w:rFonts w:hint="eastAsia" w:ascii="宋体" w:hAnsi="宋体"/>
                <w:szCs w:val="21"/>
              </w:rPr>
              <w:t>a．投标函按招标文件规定填报了项目名称、补遗书编号（如有）、供货期限、质量要求及安全目标；</w:t>
            </w:r>
          </w:p>
          <w:p w14:paraId="4934CBF9">
            <w:pPr>
              <w:widowControl/>
              <w:spacing w:line="360" w:lineRule="exact"/>
              <w:ind w:firstLine="420" w:firstLineChars="200"/>
              <w:jc w:val="left"/>
              <w:rPr>
                <w:rFonts w:hint="eastAsia" w:ascii="宋体" w:hAnsi="宋体"/>
                <w:szCs w:val="21"/>
              </w:rPr>
            </w:pPr>
            <w:r>
              <w:rPr>
                <w:rFonts w:hint="eastAsia" w:ascii="宋体" w:hAnsi="宋体"/>
                <w:szCs w:val="21"/>
              </w:rPr>
              <w:t>b．投标文件组成齐全完整，内容均按规定填写。</w:t>
            </w:r>
          </w:p>
          <w:p w14:paraId="0981FE6E">
            <w:pPr>
              <w:widowControl/>
              <w:spacing w:line="360" w:lineRule="exact"/>
              <w:ind w:firstLine="420" w:firstLineChars="200"/>
              <w:jc w:val="left"/>
              <w:rPr>
                <w:rFonts w:hint="eastAsia" w:ascii="宋体" w:hAnsi="宋体"/>
                <w:szCs w:val="21"/>
              </w:rPr>
            </w:pPr>
            <w:r>
              <w:rPr>
                <w:rFonts w:hint="eastAsia" w:ascii="宋体" w:hAnsi="宋体"/>
                <w:szCs w:val="21"/>
              </w:rPr>
              <w:t>（2）投标文件上法定代表人或其委托代理人的签字、投标人的单位章盖章齐全，符合招标文件规定。</w:t>
            </w:r>
          </w:p>
          <w:p w14:paraId="5B0A75CF">
            <w:pPr>
              <w:tabs>
                <w:tab w:val="left" w:pos="3060"/>
              </w:tabs>
              <w:spacing w:line="320" w:lineRule="exact"/>
              <w:ind w:firstLine="420" w:firstLineChars="200"/>
              <w:rPr>
                <w:rFonts w:hint="eastAsia" w:ascii="宋体" w:hAnsi="宋体"/>
                <w:szCs w:val="21"/>
              </w:rPr>
            </w:pPr>
            <w:r>
              <w:rPr>
                <w:rFonts w:hint="eastAsia" w:ascii="宋体" w:hAnsi="宋体"/>
                <w:szCs w:val="21"/>
              </w:rPr>
              <w:t>（3）投标人按照招标文件规定的金额、形式、时效和内容提供了投标保证金，并符合投标人须知前附表3.4.1项的相关规定。</w:t>
            </w:r>
          </w:p>
          <w:p w14:paraId="3B567AB7">
            <w:pPr>
              <w:tabs>
                <w:tab w:val="left" w:pos="3060"/>
              </w:tabs>
              <w:spacing w:line="360" w:lineRule="exact"/>
              <w:ind w:firstLine="525" w:firstLineChars="250"/>
              <w:rPr>
                <w:rFonts w:hint="eastAsia"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14:paraId="7FAE8343">
            <w:pPr>
              <w:tabs>
                <w:tab w:val="left" w:pos="3060"/>
              </w:tabs>
              <w:spacing w:line="360" w:lineRule="exact"/>
              <w:ind w:firstLine="525" w:firstLineChars="250"/>
              <w:rPr>
                <w:rFonts w:hint="eastAsia"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14:paraId="64EE97CD">
            <w:pPr>
              <w:tabs>
                <w:tab w:val="left" w:pos="3060"/>
              </w:tabs>
              <w:spacing w:line="360" w:lineRule="exact"/>
              <w:ind w:firstLine="525" w:firstLineChars="250"/>
              <w:rPr>
                <w:rFonts w:hint="eastAsia" w:ascii="宋体" w:hAnsi="宋体"/>
                <w:szCs w:val="21"/>
              </w:rPr>
            </w:pPr>
            <w:r>
              <w:rPr>
                <w:rFonts w:hint="eastAsia" w:ascii="宋体" w:hAnsi="宋体"/>
                <w:szCs w:val="21"/>
              </w:rPr>
              <w:t>（6）投标人未以联合体形式投标。</w:t>
            </w:r>
          </w:p>
          <w:p w14:paraId="3042740E">
            <w:pPr>
              <w:tabs>
                <w:tab w:val="left" w:pos="3060"/>
              </w:tabs>
              <w:spacing w:line="360" w:lineRule="exact"/>
              <w:ind w:firstLine="525" w:firstLineChars="250"/>
              <w:rPr>
                <w:rFonts w:hint="eastAsia" w:ascii="宋体" w:hAnsi="宋体"/>
                <w:szCs w:val="21"/>
              </w:rPr>
            </w:pPr>
            <w:r>
              <w:rPr>
                <w:rFonts w:hint="eastAsia" w:ascii="宋体" w:hAnsi="宋体"/>
                <w:szCs w:val="21"/>
              </w:rPr>
              <w:t>（7）同一投标人未提交两个以上不同的投标文件。</w:t>
            </w:r>
          </w:p>
          <w:p w14:paraId="006B1C19">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14:paraId="2821AAD9">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）投标文件载明的招标项目完成期限符合招标文件规定的时限。</w:t>
            </w:r>
          </w:p>
          <w:p w14:paraId="2EA4106A">
            <w:pPr>
              <w:tabs>
                <w:tab w:val="left" w:pos="3060"/>
              </w:tabs>
              <w:spacing w:line="360" w:lineRule="exact"/>
              <w:ind w:firstLine="525" w:firstLineChars="250"/>
              <w:rPr>
                <w:rFonts w:hint="eastAsia"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）投标人未对本项目提出分包计划。</w:t>
            </w:r>
          </w:p>
          <w:p w14:paraId="67167FB8">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14:paraId="652EA9CB">
            <w:pPr>
              <w:tabs>
                <w:tab w:val="left" w:pos="3060"/>
              </w:tabs>
              <w:spacing w:line="360" w:lineRule="exact"/>
              <w:ind w:firstLine="525" w:firstLineChars="250"/>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14:paraId="4A34C123">
            <w:pPr>
              <w:tabs>
                <w:tab w:val="left" w:pos="3060"/>
              </w:tabs>
              <w:spacing w:line="360" w:lineRule="exact"/>
              <w:ind w:firstLine="420" w:firstLineChars="200"/>
              <w:rPr>
                <w:rFonts w:hint="eastAsia" w:ascii="宋体" w:hAnsi="宋体"/>
                <w:szCs w:val="21"/>
              </w:rPr>
            </w:pPr>
            <w:r>
              <w:rPr>
                <w:rFonts w:hint="eastAsia" w:ascii="宋体" w:hAnsi="宋体"/>
                <w:szCs w:val="21"/>
              </w:rPr>
              <w:t>a.投标人应接受招标文件规定的风险划分原则，未提出新的风险划分办法；</w:t>
            </w:r>
          </w:p>
          <w:p w14:paraId="64E2473C">
            <w:pPr>
              <w:tabs>
                <w:tab w:val="left" w:pos="3060"/>
              </w:tabs>
              <w:spacing w:line="360" w:lineRule="exact"/>
              <w:ind w:firstLine="420" w:firstLineChars="200"/>
              <w:rPr>
                <w:rFonts w:hint="eastAsia" w:ascii="宋体" w:hAnsi="宋体"/>
                <w:szCs w:val="21"/>
              </w:rPr>
            </w:pPr>
            <w:r>
              <w:rPr>
                <w:rFonts w:hint="eastAsia" w:ascii="宋体" w:hAnsi="宋体"/>
                <w:szCs w:val="21"/>
              </w:rPr>
              <w:t>b.投标人未增加发包人的责任范围，或减少投标人义务；</w:t>
            </w:r>
          </w:p>
          <w:p w14:paraId="57D3BBBC">
            <w:pPr>
              <w:tabs>
                <w:tab w:val="left" w:pos="3060"/>
              </w:tabs>
              <w:spacing w:line="360" w:lineRule="exact"/>
              <w:ind w:firstLine="420" w:firstLineChars="200"/>
              <w:rPr>
                <w:rFonts w:hint="eastAsia" w:ascii="宋体" w:hAnsi="宋体"/>
                <w:szCs w:val="21"/>
              </w:rPr>
            </w:pPr>
            <w:r>
              <w:rPr>
                <w:rFonts w:hint="eastAsia" w:ascii="宋体" w:hAnsi="宋体"/>
                <w:szCs w:val="21"/>
              </w:rPr>
              <w:t>c.投标人未提出不同的支付办法；</w:t>
            </w:r>
          </w:p>
          <w:p w14:paraId="70D60D8F">
            <w:pPr>
              <w:tabs>
                <w:tab w:val="left" w:pos="3060"/>
              </w:tabs>
              <w:spacing w:line="360" w:lineRule="exact"/>
              <w:ind w:firstLine="420" w:firstLineChars="200"/>
              <w:rPr>
                <w:rFonts w:hint="eastAsia" w:ascii="宋体" w:hAnsi="宋体"/>
                <w:szCs w:val="21"/>
              </w:rPr>
            </w:pPr>
            <w:r>
              <w:rPr>
                <w:rFonts w:hint="eastAsia" w:ascii="宋体" w:hAnsi="宋体"/>
                <w:szCs w:val="21"/>
              </w:rPr>
              <w:t>d.投标人对合同纠纷、事故处理办法未提出异议；</w:t>
            </w:r>
          </w:p>
          <w:p w14:paraId="5ED3273A">
            <w:pPr>
              <w:tabs>
                <w:tab w:val="left" w:pos="3060"/>
              </w:tabs>
              <w:spacing w:line="360" w:lineRule="exact"/>
              <w:ind w:firstLine="420" w:firstLineChars="200"/>
              <w:rPr>
                <w:rFonts w:hint="eastAsia" w:ascii="宋体" w:hAnsi="宋体"/>
                <w:szCs w:val="21"/>
              </w:rPr>
            </w:pPr>
            <w:r>
              <w:rPr>
                <w:rFonts w:hint="eastAsia" w:ascii="宋体" w:hAnsi="宋体"/>
                <w:szCs w:val="21"/>
              </w:rPr>
              <w:t>e.投标人在投标活动中无欺诈行为；</w:t>
            </w:r>
          </w:p>
          <w:p w14:paraId="6594B4B5">
            <w:pPr>
              <w:tabs>
                <w:tab w:val="left" w:pos="3060"/>
              </w:tabs>
              <w:spacing w:line="360" w:lineRule="exact"/>
              <w:ind w:firstLine="420" w:firstLineChars="200"/>
              <w:rPr>
                <w:rFonts w:hint="eastAsia" w:ascii="宋体" w:hAnsi="宋体"/>
                <w:szCs w:val="21"/>
              </w:rPr>
            </w:pPr>
            <w:r>
              <w:rPr>
                <w:rFonts w:hint="eastAsia" w:ascii="宋体" w:hAnsi="宋体"/>
                <w:szCs w:val="21"/>
              </w:rPr>
              <w:t>f.投标人未对合同条款有重要保留。</w:t>
            </w:r>
          </w:p>
          <w:p w14:paraId="14E57F63">
            <w:pPr>
              <w:tabs>
                <w:tab w:val="left" w:pos="3060"/>
              </w:tabs>
              <w:spacing w:line="320" w:lineRule="exact"/>
              <w:rPr>
                <w:rFonts w:hint="eastAsia" w:ascii="宋体" w:hAnsi="宋体"/>
                <w:b/>
                <w:szCs w:val="21"/>
              </w:rPr>
            </w:pPr>
            <w:r>
              <w:rPr>
                <w:rFonts w:hint="eastAsia" w:ascii="宋体" w:hAnsi="宋体"/>
                <w:b/>
                <w:szCs w:val="21"/>
              </w:rPr>
              <w:t>第二个信封（报价文件）评审标准：</w:t>
            </w:r>
          </w:p>
          <w:p w14:paraId="4354C791">
            <w:pPr>
              <w:tabs>
                <w:tab w:val="left" w:pos="3060"/>
              </w:tabs>
              <w:spacing w:line="360" w:lineRule="exact"/>
              <w:ind w:firstLine="420" w:firstLineChars="200"/>
              <w:rPr>
                <w:rFonts w:hint="eastAsia" w:ascii="宋体" w:hAnsi="宋体"/>
                <w:bCs/>
                <w:szCs w:val="21"/>
              </w:rPr>
            </w:pPr>
            <w:r>
              <w:rPr>
                <w:rFonts w:hint="eastAsia" w:ascii="宋体" w:hAnsi="宋体"/>
                <w:bCs/>
                <w:szCs w:val="21"/>
              </w:rPr>
              <w:t>（1）投标文件按照招标文件规定的格式、内容填写，字迹清晰可辨：</w:t>
            </w:r>
          </w:p>
          <w:p w14:paraId="2678CDE9">
            <w:pPr>
              <w:tabs>
                <w:tab w:val="left" w:pos="3060"/>
              </w:tabs>
              <w:spacing w:line="360" w:lineRule="exact"/>
              <w:ind w:firstLine="420" w:firstLineChars="200"/>
              <w:rPr>
                <w:rFonts w:hint="eastAsia" w:ascii="宋体" w:hAnsi="宋体"/>
                <w:bCs/>
                <w:szCs w:val="21"/>
              </w:rPr>
            </w:pPr>
            <w:r>
              <w:rPr>
                <w:rFonts w:hint="eastAsia" w:ascii="宋体" w:hAnsi="宋体"/>
                <w:bCs/>
                <w:szCs w:val="21"/>
              </w:rPr>
              <w:t>a.投标函按招标文件规定填报了项目名称、补遗书编号（如有）、投标价（包括大写金额和小写金额）；</w:t>
            </w:r>
          </w:p>
          <w:p w14:paraId="03801B05">
            <w:pPr>
              <w:tabs>
                <w:tab w:val="left" w:pos="3060"/>
              </w:tabs>
              <w:spacing w:line="360" w:lineRule="exact"/>
              <w:ind w:firstLine="420" w:firstLineChars="200"/>
              <w:rPr>
                <w:rFonts w:hint="eastAsia" w:ascii="宋体" w:hAnsi="宋体"/>
                <w:bCs/>
                <w:szCs w:val="21"/>
              </w:rPr>
            </w:pPr>
            <w:r>
              <w:rPr>
                <w:rFonts w:hint="eastAsia" w:ascii="宋体" w:hAnsi="宋体"/>
                <w:bCs/>
                <w:szCs w:val="21"/>
              </w:rPr>
              <w:t>b．已</w:t>
            </w:r>
            <w:r>
              <w:rPr>
                <w:rFonts w:hint="eastAsia" w:ascii="宋体" w:hAnsi="宋体"/>
                <w:szCs w:val="21"/>
              </w:rPr>
              <w:t>标价</w:t>
            </w:r>
            <w:r>
              <w:rPr>
                <w:rFonts w:hint="eastAsia" w:ascii="宋体" w:hAnsi="宋体"/>
                <w:bCs/>
                <w:szCs w:val="21"/>
              </w:rPr>
              <w:t>清单说明文字与招标文件规定一致，未进行实质性修改和删减；</w:t>
            </w:r>
          </w:p>
          <w:p w14:paraId="64994B35">
            <w:pPr>
              <w:tabs>
                <w:tab w:val="left" w:pos="3060"/>
              </w:tabs>
              <w:spacing w:line="360" w:lineRule="exact"/>
              <w:ind w:firstLine="420" w:firstLineChars="200"/>
              <w:rPr>
                <w:rFonts w:hint="eastAsia" w:ascii="宋体" w:hAnsi="宋体"/>
                <w:bCs/>
                <w:szCs w:val="21"/>
              </w:rPr>
            </w:pPr>
            <w:r>
              <w:rPr>
                <w:rFonts w:hint="eastAsia" w:ascii="宋体" w:hAnsi="宋体"/>
                <w:bCs/>
                <w:szCs w:val="21"/>
              </w:rPr>
              <w:t>c．投标文件组成齐全完整，内容均按规定填写。</w:t>
            </w:r>
          </w:p>
          <w:p w14:paraId="67E71987">
            <w:pPr>
              <w:tabs>
                <w:tab w:val="left" w:pos="3060"/>
              </w:tabs>
              <w:spacing w:line="360" w:lineRule="exact"/>
              <w:ind w:firstLine="420" w:firstLineChars="200"/>
              <w:rPr>
                <w:rFonts w:hint="eastAsia"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14:paraId="27CB31C0">
            <w:pPr>
              <w:tabs>
                <w:tab w:val="left" w:pos="3060"/>
              </w:tabs>
              <w:spacing w:line="360" w:lineRule="exact"/>
              <w:ind w:firstLine="420" w:firstLineChars="200"/>
              <w:rPr>
                <w:rFonts w:hint="eastAsia" w:ascii="宋体" w:hAnsi="宋体"/>
                <w:szCs w:val="21"/>
              </w:rPr>
            </w:pPr>
            <w:r>
              <w:rPr>
                <w:rFonts w:hint="eastAsia" w:ascii="宋体" w:hAnsi="宋体"/>
                <w:szCs w:val="21"/>
              </w:rPr>
              <w:t>（3）投标报价未超过招标文件设定的最高投标限价。</w:t>
            </w:r>
          </w:p>
          <w:p w14:paraId="39406732">
            <w:pPr>
              <w:tabs>
                <w:tab w:val="left" w:pos="3060"/>
              </w:tabs>
              <w:spacing w:line="360" w:lineRule="exact"/>
              <w:ind w:firstLine="420" w:firstLineChars="200"/>
              <w:rPr>
                <w:rFonts w:hint="eastAsia" w:ascii="宋体" w:hAnsi="宋体"/>
                <w:szCs w:val="21"/>
              </w:rPr>
            </w:pPr>
            <w:r>
              <w:rPr>
                <w:rFonts w:hint="eastAsia" w:ascii="宋体" w:hAnsi="宋体"/>
                <w:szCs w:val="21"/>
              </w:rPr>
              <w:t>（4）投标报价的大写金额能够确定具体数值。</w:t>
            </w:r>
          </w:p>
          <w:p w14:paraId="76C3B7D6">
            <w:pPr>
              <w:tabs>
                <w:tab w:val="left" w:pos="3060"/>
              </w:tabs>
              <w:spacing w:line="360" w:lineRule="exact"/>
              <w:ind w:firstLine="420" w:firstLineChars="200"/>
              <w:rPr>
                <w:rFonts w:hint="eastAsia" w:ascii="宋体" w:hAnsi="宋体"/>
                <w:szCs w:val="21"/>
              </w:rPr>
            </w:pPr>
            <w:r>
              <w:rPr>
                <w:rFonts w:hint="eastAsia" w:ascii="宋体" w:hAnsi="宋体"/>
                <w:szCs w:val="21"/>
              </w:rPr>
              <w:t>（5）同一投标人未提交两个以上不同的投标报价。</w:t>
            </w:r>
          </w:p>
          <w:p w14:paraId="4D70824E">
            <w:pPr>
              <w:tabs>
                <w:tab w:val="left" w:pos="3060"/>
              </w:tabs>
              <w:spacing w:line="360" w:lineRule="exact"/>
              <w:ind w:firstLine="420" w:firstLineChars="200"/>
              <w:rPr>
                <w:rFonts w:hint="eastAsia" w:ascii="宋体" w:hAnsi="宋体"/>
                <w:szCs w:val="21"/>
              </w:rPr>
            </w:pPr>
            <w:r>
              <w:rPr>
                <w:rFonts w:hint="eastAsia" w:ascii="宋体" w:hAnsi="宋体"/>
                <w:szCs w:val="21"/>
              </w:rPr>
              <w:t>（6）</w:t>
            </w:r>
            <w:r>
              <w:rPr>
                <w:rFonts w:hint="eastAsia" w:ascii="宋体" w:hAnsi="宋体"/>
                <w:bCs/>
                <w:szCs w:val="21"/>
              </w:rPr>
              <w:t>已</w:t>
            </w:r>
            <w:r>
              <w:rPr>
                <w:rFonts w:hint="eastAsia" w:ascii="宋体" w:hAnsi="宋体"/>
                <w:szCs w:val="21"/>
              </w:rPr>
              <w:t>标价清单中的投标报价和投标函大写金额报价一致。</w:t>
            </w:r>
          </w:p>
        </w:tc>
      </w:tr>
      <w:tr w14:paraId="7480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72C40446">
            <w:pPr>
              <w:spacing w:before="100" w:beforeAutospacing="1" w:after="100" w:afterAutospacing="1"/>
              <w:jc w:val="center"/>
              <w:rPr>
                <w:rFonts w:hint="eastAsia"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14:paraId="64E4F96C">
            <w:pPr>
              <w:spacing w:before="100" w:beforeAutospacing="1" w:after="100" w:afterAutospacing="1"/>
              <w:jc w:val="center"/>
              <w:rPr>
                <w:rFonts w:hint="eastAsia"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14:paraId="3F419826">
            <w:pPr>
              <w:tabs>
                <w:tab w:val="left" w:pos="3060"/>
              </w:tabs>
              <w:spacing w:line="360" w:lineRule="exact"/>
              <w:ind w:firstLine="420" w:firstLineChars="200"/>
              <w:rPr>
                <w:rFonts w:hint="eastAsia" w:ascii="宋体" w:hAnsi="宋体"/>
                <w:szCs w:val="21"/>
              </w:rPr>
            </w:pPr>
            <w:r>
              <w:rPr>
                <w:rFonts w:hint="eastAsia" w:ascii="宋体" w:hAnsi="宋体"/>
                <w:szCs w:val="21"/>
              </w:rPr>
              <w:t>（1）投标人具备有效的营业执照和基本账户开户许可证或基本存款账户信息。</w:t>
            </w:r>
          </w:p>
          <w:p w14:paraId="5276C391">
            <w:pPr>
              <w:tabs>
                <w:tab w:val="left" w:pos="3060"/>
              </w:tabs>
              <w:spacing w:line="360" w:lineRule="exact"/>
              <w:ind w:firstLine="420" w:firstLineChars="200"/>
              <w:rPr>
                <w:rFonts w:hint="eastAsia" w:ascii="宋体" w:hAnsi="宋体"/>
                <w:szCs w:val="21"/>
              </w:rPr>
            </w:pPr>
            <w:r>
              <w:rPr>
                <w:rFonts w:hint="eastAsia" w:ascii="宋体" w:hAnsi="宋体"/>
                <w:szCs w:val="21"/>
              </w:rPr>
              <w:t>（2）投标人的资质等级符合招标文件规定。</w:t>
            </w:r>
          </w:p>
          <w:p w14:paraId="313982BE">
            <w:pPr>
              <w:tabs>
                <w:tab w:val="left" w:pos="3060"/>
              </w:tabs>
              <w:spacing w:line="360" w:lineRule="exact"/>
              <w:ind w:firstLine="420" w:firstLineChars="200"/>
              <w:rPr>
                <w:rFonts w:hint="eastAsia" w:ascii="宋体" w:hAnsi="宋体"/>
                <w:szCs w:val="21"/>
              </w:rPr>
            </w:pPr>
            <w:r>
              <w:rPr>
                <w:rFonts w:hint="eastAsia" w:ascii="宋体" w:hAnsi="宋体"/>
                <w:szCs w:val="21"/>
              </w:rPr>
              <w:t>（3）投标人的业绩符合招标文件规定。</w:t>
            </w:r>
          </w:p>
          <w:p w14:paraId="0659908A">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14:paraId="350AA59F">
            <w:pPr>
              <w:tabs>
                <w:tab w:val="left" w:pos="3060"/>
              </w:tabs>
              <w:spacing w:line="360" w:lineRule="exact"/>
              <w:ind w:firstLine="420" w:firstLineChars="200"/>
              <w:rPr>
                <w:rFonts w:hint="eastAsia"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）投标人不存在第二章“投标人须知”第1.4.3项或1.4.4项规定的任何一种情形。</w:t>
            </w:r>
          </w:p>
        </w:tc>
      </w:tr>
      <w:tr w14:paraId="6774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03BBFDDB">
            <w:pPr>
              <w:spacing w:before="100" w:beforeAutospacing="1" w:after="100" w:afterAutospacing="1"/>
              <w:jc w:val="center"/>
              <w:rPr>
                <w:rFonts w:hint="eastAsia" w:ascii="宋体" w:hAnsi="宋体"/>
                <w:szCs w:val="21"/>
              </w:rPr>
            </w:pPr>
            <w:r>
              <w:rPr>
                <w:rFonts w:hint="eastAsia" w:ascii="宋体" w:hAnsi="宋体"/>
                <w:szCs w:val="21"/>
              </w:rPr>
              <w:t xml:space="preserve">2.2.1 </w:t>
            </w:r>
          </w:p>
        </w:tc>
        <w:tc>
          <w:tcPr>
            <w:tcW w:w="989" w:type="dxa"/>
            <w:tcBorders>
              <w:top w:val="single" w:color="auto" w:sz="4" w:space="0"/>
              <w:left w:val="single" w:color="auto" w:sz="4" w:space="0"/>
              <w:bottom w:val="single" w:color="auto" w:sz="4" w:space="0"/>
              <w:right w:val="single" w:color="auto" w:sz="4" w:space="0"/>
            </w:tcBorders>
            <w:vAlign w:val="center"/>
          </w:tcPr>
          <w:p w14:paraId="5E067347">
            <w:pPr>
              <w:spacing w:before="100" w:beforeAutospacing="1" w:after="100" w:afterAutospacing="1"/>
              <w:jc w:val="center"/>
              <w:rPr>
                <w:rFonts w:hint="eastAsia" w:ascii="宋体" w:hAnsi="宋体"/>
                <w:szCs w:val="21"/>
              </w:rPr>
            </w:pPr>
            <w:r>
              <w:rPr>
                <w:rFonts w:hint="eastAsia" w:ascii="宋体" w:hAnsi="宋体"/>
                <w:szCs w:val="21"/>
              </w:rPr>
              <w:t xml:space="preserve">分值构成（总分100分） </w:t>
            </w:r>
          </w:p>
        </w:tc>
        <w:tc>
          <w:tcPr>
            <w:tcW w:w="7775" w:type="dxa"/>
            <w:tcBorders>
              <w:top w:val="single" w:color="auto" w:sz="4" w:space="0"/>
              <w:left w:val="single" w:color="auto" w:sz="4" w:space="0"/>
              <w:bottom w:val="single" w:color="auto" w:sz="4" w:space="0"/>
              <w:right w:val="single" w:color="auto" w:sz="4" w:space="0"/>
            </w:tcBorders>
            <w:vAlign w:val="center"/>
          </w:tcPr>
          <w:p w14:paraId="7ADC2557">
            <w:pPr>
              <w:spacing w:line="360" w:lineRule="exact"/>
              <w:rPr>
                <w:rFonts w:hint="eastAsia" w:ascii="宋体" w:hAnsi="宋体"/>
                <w:szCs w:val="21"/>
              </w:rPr>
            </w:pPr>
            <w:r>
              <w:rPr>
                <w:rFonts w:hint="eastAsia" w:ascii="宋体" w:hAnsi="宋体"/>
                <w:b/>
                <w:szCs w:val="21"/>
              </w:rPr>
              <w:t>第一个信封（商务及技术文件）评分分值构成：</w:t>
            </w:r>
          </w:p>
          <w:p w14:paraId="6A91769C">
            <w:pPr>
              <w:spacing w:line="360" w:lineRule="exact"/>
              <w:ind w:firstLine="420" w:firstLineChars="200"/>
              <w:rPr>
                <w:rFonts w:hint="eastAsia" w:ascii="宋体" w:hAnsi="宋体"/>
                <w:szCs w:val="21"/>
              </w:rPr>
            </w:pPr>
            <w:r>
              <w:rPr>
                <w:rFonts w:hint="eastAsia" w:ascii="宋体" w:hAnsi="宋体"/>
                <w:szCs w:val="21"/>
              </w:rPr>
              <w:t xml:space="preserve">业 </w:t>
            </w:r>
            <w:r>
              <w:rPr>
                <w:rFonts w:ascii="宋体" w:hAnsi="宋体"/>
                <w:szCs w:val="21"/>
              </w:rPr>
              <w:t xml:space="preserve">   </w:t>
            </w:r>
            <w:r>
              <w:rPr>
                <w:rFonts w:hint="eastAsia" w:ascii="宋体" w:hAnsi="宋体"/>
                <w:szCs w:val="21"/>
              </w:rPr>
              <w:t xml:space="preserve">绩：       </w:t>
            </w:r>
            <w:r>
              <w:rPr>
                <w:rFonts w:ascii="宋体" w:hAnsi="宋体"/>
                <w:szCs w:val="21"/>
              </w:rPr>
              <w:t>20</w:t>
            </w:r>
            <w:r>
              <w:rPr>
                <w:rFonts w:hint="eastAsia" w:ascii="宋体" w:hAnsi="宋体"/>
                <w:szCs w:val="21"/>
              </w:rPr>
              <w:t>分</w:t>
            </w:r>
          </w:p>
          <w:p w14:paraId="69803030">
            <w:pPr>
              <w:spacing w:line="360" w:lineRule="exact"/>
              <w:ind w:firstLine="420" w:firstLineChars="200"/>
              <w:rPr>
                <w:rFonts w:hint="eastAsia" w:ascii="宋体" w:hAnsi="宋体"/>
                <w:szCs w:val="21"/>
              </w:rPr>
            </w:pPr>
            <w:r>
              <w:rPr>
                <w:rFonts w:hint="eastAsia" w:ascii="宋体" w:hAnsi="宋体"/>
                <w:szCs w:val="21"/>
              </w:rPr>
              <w:t xml:space="preserve">服务方案：       </w:t>
            </w:r>
            <w:r>
              <w:rPr>
                <w:rFonts w:ascii="宋体" w:hAnsi="宋体"/>
                <w:szCs w:val="21"/>
              </w:rPr>
              <w:t>50</w:t>
            </w:r>
            <w:r>
              <w:rPr>
                <w:rFonts w:hint="eastAsia" w:ascii="宋体" w:hAnsi="宋体"/>
                <w:szCs w:val="21"/>
              </w:rPr>
              <w:t>分</w:t>
            </w:r>
          </w:p>
          <w:p w14:paraId="75C58264">
            <w:pPr>
              <w:spacing w:line="360" w:lineRule="exact"/>
              <w:rPr>
                <w:rFonts w:hint="eastAsia" w:ascii="宋体" w:hAnsi="宋体"/>
                <w:szCs w:val="21"/>
              </w:rPr>
            </w:pPr>
            <w:r>
              <w:rPr>
                <w:rFonts w:hint="eastAsia" w:ascii="宋体" w:hAnsi="宋体"/>
                <w:b/>
                <w:szCs w:val="21"/>
              </w:rPr>
              <w:t>第二个信封（报价文件）评分分值构成：</w:t>
            </w:r>
          </w:p>
          <w:p w14:paraId="368D57F8">
            <w:pPr>
              <w:spacing w:line="360" w:lineRule="exact"/>
              <w:ind w:firstLine="420" w:firstLineChars="200"/>
              <w:rPr>
                <w:rFonts w:hint="eastAsia" w:ascii="宋体" w:hAnsi="宋体"/>
                <w:szCs w:val="21"/>
              </w:rPr>
            </w:pPr>
            <w:r>
              <w:rPr>
                <w:rFonts w:hint="eastAsia" w:ascii="宋体" w:hAnsi="宋体"/>
                <w:szCs w:val="21"/>
              </w:rPr>
              <w:t xml:space="preserve">评 标 价：       </w:t>
            </w:r>
            <w:r>
              <w:rPr>
                <w:rFonts w:ascii="宋体" w:hAnsi="宋体"/>
                <w:szCs w:val="21"/>
              </w:rPr>
              <w:t>3</w:t>
            </w:r>
            <w:r>
              <w:rPr>
                <w:rFonts w:hint="eastAsia" w:ascii="宋体" w:hAnsi="宋体"/>
                <w:szCs w:val="21"/>
              </w:rPr>
              <w:t>0分</w:t>
            </w:r>
          </w:p>
        </w:tc>
      </w:tr>
      <w:tr w14:paraId="360A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0132BACB">
            <w:pPr>
              <w:spacing w:before="100" w:beforeAutospacing="1" w:after="100" w:afterAutospacing="1"/>
              <w:jc w:val="center"/>
              <w:rPr>
                <w:rFonts w:hint="eastAsia" w:ascii="宋体" w:hAnsi="宋体"/>
                <w:szCs w:val="21"/>
              </w:rPr>
            </w:pPr>
            <w:r>
              <w:rPr>
                <w:rFonts w:hint="eastAsia" w:ascii="宋体" w:hAnsi="宋体"/>
                <w:szCs w:val="21"/>
              </w:rPr>
              <w:t xml:space="preserve">2.2.2 </w:t>
            </w:r>
          </w:p>
        </w:tc>
        <w:tc>
          <w:tcPr>
            <w:tcW w:w="989" w:type="dxa"/>
            <w:tcBorders>
              <w:top w:val="single" w:color="auto" w:sz="4" w:space="0"/>
              <w:left w:val="single" w:color="auto" w:sz="4" w:space="0"/>
              <w:bottom w:val="single" w:color="auto" w:sz="4" w:space="0"/>
              <w:right w:val="single" w:color="auto" w:sz="4" w:space="0"/>
            </w:tcBorders>
            <w:vAlign w:val="center"/>
          </w:tcPr>
          <w:p w14:paraId="1234A1F1">
            <w:pPr>
              <w:spacing w:before="100" w:beforeAutospacing="1" w:after="100" w:afterAutospacing="1"/>
              <w:jc w:val="center"/>
              <w:rPr>
                <w:rFonts w:hint="eastAsia" w:ascii="宋体" w:hAnsi="宋体"/>
                <w:szCs w:val="21"/>
              </w:rPr>
            </w:pPr>
            <w:r>
              <w:rPr>
                <w:rFonts w:hint="eastAsia" w:ascii="宋体" w:hAnsi="宋体"/>
                <w:szCs w:val="21"/>
              </w:rPr>
              <w:t xml:space="preserve">评标基准价计算方法 </w:t>
            </w:r>
          </w:p>
        </w:tc>
        <w:tc>
          <w:tcPr>
            <w:tcW w:w="7775" w:type="dxa"/>
            <w:tcBorders>
              <w:top w:val="single" w:color="auto" w:sz="4" w:space="0"/>
              <w:left w:val="single" w:color="auto" w:sz="4" w:space="0"/>
              <w:bottom w:val="single" w:color="auto" w:sz="4" w:space="0"/>
              <w:right w:val="single" w:color="auto" w:sz="4" w:space="0"/>
            </w:tcBorders>
            <w:vAlign w:val="center"/>
          </w:tcPr>
          <w:p w14:paraId="083543C4">
            <w:pPr>
              <w:spacing w:line="360" w:lineRule="exact"/>
              <w:rPr>
                <w:rFonts w:hint="eastAsia" w:ascii="宋体" w:hAnsi="宋体"/>
                <w:szCs w:val="21"/>
              </w:rPr>
            </w:pPr>
            <w:r>
              <w:rPr>
                <w:rFonts w:hint="eastAsia" w:ascii="宋体" w:hAnsi="宋体"/>
                <w:szCs w:val="21"/>
              </w:rPr>
              <w:t xml:space="preserve">评标基准价的计算： </w:t>
            </w:r>
          </w:p>
          <w:p w14:paraId="7E75716E">
            <w:pPr>
              <w:tabs>
                <w:tab w:val="left" w:pos="3060"/>
              </w:tabs>
              <w:spacing w:line="360" w:lineRule="exact"/>
              <w:ind w:firstLine="420" w:firstLineChars="200"/>
              <w:rPr>
                <w:rFonts w:hint="eastAsia" w:ascii="宋体" w:hAnsi="宋体"/>
                <w:szCs w:val="21"/>
              </w:rPr>
            </w:pPr>
            <w:r>
              <w:rPr>
                <w:rFonts w:hint="eastAsia" w:ascii="宋体" w:hAnsi="宋体"/>
                <w:szCs w:val="21"/>
              </w:rPr>
              <w:t>(1)评标价的确定：</w:t>
            </w:r>
          </w:p>
          <w:p w14:paraId="7A8D8C7F">
            <w:pPr>
              <w:spacing w:line="360" w:lineRule="exact"/>
              <w:ind w:firstLine="420" w:firstLineChars="200"/>
              <w:rPr>
                <w:rFonts w:hint="eastAsia" w:ascii="宋体" w:hAnsi="宋体"/>
                <w:szCs w:val="21"/>
              </w:rPr>
            </w:pPr>
            <w:r>
              <w:rPr>
                <w:rFonts w:hint="eastAsia" w:ascii="宋体" w:hAnsi="宋体"/>
                <w:szCs w:val="21"/>
              </w:rPr>
              <w:t>评标价=投标函文字报价</w:t>
            </w:r>
          </w:p>
          <w:p w14:paraId="2353CC37">
            <w:pPr>
              <w:spacing w:line="360" w:lineRule="exact"/>
              <w:ind w:firstLine="420" w:firstLineChars="200"/>
              <w:rPr>
                <w:rFonts w:hint="eastAsia" w:ascii="宋体" w:hAnsi="宋体"/>
                <w:szCs w:val="21"/>
              </w:rPr>
            </w:pPr>
            <w:r>
              <w:rPr>
                <w:rFonts w:hint="eastAsia" w:ascii="宋体" w:hAnsi="宋体"/>
                <w:szCs w:val="21"/>
              </w:rPr>
              <w:t>(2)评标价平均值的计算：</w:t>
            </w:r>
          </w:p>
          <w:p w14:paraId="60CE18FE">
            <w:pPr>
              <w:spacing w:line="360" w:lineRule="exact"/>
              <w:ind w:firstLine="420" w:firstLineChars="200"/>
              <w:rPr>
                <w:rFonts w:hint="eastAsia" w:ascii="宋体" w:hAnsi="宋体"/>
                <w:szCs w:val="21"/>
              </w:rPr>
            </w:pPr>
            <w:r>
              <w:rPr>
                <w:rFonts w:hint="eastAsia" w:ascii="宋体" w:hAnsi="宋体"/>
                <w:szCs w:val="21"/>
              </w:rPr>
              <w:t>除按第二章“投标人须知”第5.2.4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5DA1BF42">
            <w:pPr>
              <w:spacing w:line="360" w:lineRule="exact"/>
              <w:ind w:firstLine="420" w:firstLineChars="200"/>
              <w:rPr>
                <w:rFonts w:hint="eastAsia" w:ascii="宋体" w:hAnsi="宋体"/>
                <w:szCs w:val="21"/>
              </w:rPr>
            </w:pPr>
            <w:r>
              <w:rPr>
                <w:rFonts w:hint="eastAsia" w:ascii="宋体" w:hAnsi="宋体"/>
                <w:szCs w:val="21"/>
              </w:rPr>
              <w:t>(3)评标基准价的确定：</w:t>
            </w:r>
          </w:p>
          <w:p w14:paraId="213331E7">
            <w:pPr>
              <w:spacing w:line="360" w:lineRule="exact"/>
              <w:ind w:firstLine="420" w:firstLineChars="200"/>
              <w:rPr>
                <w:rFonts w:hint="eastAsia" w:ascii="宋体" w:hAnsi="宋体"/>
                <w:szCs w:val="21"/>
              </w:rPr>
            </w:pPr>
            <w:r>
              <w:rPr>
                <w:rFonts w:hint="eastAsia" w:ascii="宋体" w:hAnsi="宋体"/>
                <w:szCs w:val="21"/>
              </w:rPr>
              <w:t>评标价平均值直接作为评标基准价。</w:t>
            </w:r>
          </w:p>
          <w:p w14:paraId="440E261D">
            <w:pPr>
              <w:spacing w:line="360" w:lineRule="exact"/>
              <w:ind w:firstLine="420" w:firstLineChars="200"/>
              <w:rPr>
                <w:rFonts w:hint="eastAsia" w:ascii="宋体" w:hAnsi="宋体"/>
                <w:szCs w:val="21"/>
              </w:rPr>
            </w:pPr>
            <w:r>
              <w:rPr>
                <w:rFonts w:hint="eastAsia" w:ascii="宋体" w:hAnsi="宋体"/>
                <w:szCs w:val="21"/>
              </w:rPr>
              <w:t>评标基准价保留小数点后两位，小数点后第三位四舍五入。</w:t>
            </w:r>
          </w:p>
          <w:p w14:paraId="6DD8ED0A">
            <w:pPr>
              <w:spacing w:line="360" w:lineRule="exact"/>
              <w:ind w:firstLine="420" w:firstLineChars="200"/>
              <w:rPr>
                <w:rFonts w:hint="eastAsia" w:ascii="宋体" w:hAnsi="宋体"/>
                <w:szCs w:val="21"/>
              </w:rPr>
            </w:pPr>
            <w:r>
              <w:rPr>
                <w:rFonts w:hint="eastAsia" w:ascii="宋体" w:hAnsi="宋体"/>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5B8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14:paraId="4F260075">
            <w:pPr>
              <w:rPr>
                <w:rFonts w:hint="eastAsia" w:ascii="宋体" w:hAnsi="宋体"/>
                <w:szCs w:val="21"/>
              </w:rPr>
            </w:pPr>
            <w:r>
              <w:rPr>
                <w:rFonts w:hint="eastAsia" w:ascii="宋体" w:hAnsi="宋体"/>
                <w:szCs w:val="21"/>
              </w:rPr>
              <w:t xml:space="preserve">2.2.3 </w:t>
            </w:r>
          </w:p>
        </w:tc>
        <w:tc>
          <w:tcPr>
            <w:tcW w:w="989" w:type="dxa"/>
            <w:tcBorders>
              <w:top w:val="single" w:color="auto" w:sz="4" w:space="0"/>
              <w:left w:val="single" w:color="auto" w:sz="4" w:space="0"/>
              <w:bottom w:val="single" w:color="auto" w:sz="4" w:space="0"/>
              <w:right w:val="single" w:color="auto" w:sz="4" w:space="0"/>
            </w:tcBorders>
            <w:vAlign w:val="center"/>
          </w:tcPr>
          <w:p w14:paraId="7FEC6928">
            <w:pPr>
              <w:jc w:val="center"/>
              <w:rPr>
                <w:rFonts w:hint="eastAsia" w:ascii="宋体" w:hAnsi="宋体"/>
                <w:szCs w:val="21"/>
              </w:rPr>
            </w:pPr>
            <w:r>
              <w:rPr>
                <w:rFonts w:hint="eastAsia" w:ascii="宋体" w:hAnsi="宋体"/>
                <w:szCs w:val="21"/>
              </w:rPr>
              <w:t>评标价的偏差率计算公式</w:t>
            </w:r>
          </w:p>
        </w:tc>
        <w:tc>
          <w:tcPr>
            <w:tcW w:w="7775" w:type="dxa"/>
            <w:tcBorders>
              <w:top w:val="single" w:color="auto" w:sz="4" w:space="0"/>
              <w:left w:val="single" w:color="auto" w:sz="4" w:space="0"/>
              <w:bottom w:val="single" w:color="auto" w:sz="4" w:space="0"/>
              <w:right w:val="single" w:color="auto" w:sz="4" w:space="0"/>
            </w:tcBorders>
            <w:vAlign w:val="center"/>
          </w:tcPr>
          <w:p w14:paraId="2B8B2FE0">
            <w:pPr>
              <w:spacing w:line="360" w:lineRule="exact"/>
              <w:ind w:firstLine="420" w:firstLineChars="200"/>
              <w:rPr>
                <w:rFonts w:hint="eastAsia" w:ascii="宋体" w:hAnsi="宋体"/>
                <w:szCs w:val="21"/>
              </w:rPr>
            </w:pPr>
            <w:r>
              <w:rPr>
                <w:rFonts w:hint="eastAsia" w:ascii="宋体" w:hAnsi="宋体"/>
                <w:szCs w:val="21"/>
              </w:rPr>
              <w:t>偏差率=100%×(投标人评标价-评标基准价)/评标基准价</w:t>
            </w:r>
          </w:p>
        </w:tc>
      </w:tr>
      <w:tr w14:paraId="09CE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5D4B49A4">
            <w:pPr>
              <w:rPr>
                <w:rFonts w:hint="eastAsia" w:ascii="宋体" w:hAnsi="宋体"/>
                <w:szCs w:val="21"/>
              </w:rPr>
            </w:pPr>
            <w:r>
              <w:rPr>
                <w:rFonts w:hint="eastAsia" w:ascii="宋体" w:hAnsi="宋体"/>
                <w:szCs w:val="21"/>
              </w:rPr>
              <w:t>3</w:t>
            </w:r>
            <w:r>
              <w:rPr>
                <w:rFonts w:ascii="宋体" w:hAnsi="宋体"/>
                <w:szCs w:val="21"/>
              </w:rPr>
              <w:t>.6.1</w:t>
            </w:r>
          </w:p>
        </w:tc>
        <w:tc>
          <w:tcPr>
            <w:tcW w:w="989" w:type="dxa"/>
            <w:tcBorders>
              <w:top w:val="single" w:color="auto" w:sz="4" w:space="0"/>
              <w:left w:val="single" w:color="auto" w:sz="4" w:space="0"/>
              <w:bottom w:val="single" w:color="auto" w:sz="4" w:space="0"/>
              <w:right w:val="single" w:color="auto" w:sz="4" w:space="0"/>
            </w:tcBorders>
            <w:vAlign w:val="center"/>
          </w:tcPr>
          <w:p w14:paraId="2C54F903">
            <w:pPr>
              <w:jc w:val="center"/>
              <w:rPr>
                <w:rFonts w:hint="eastAsia"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14:paraId="52E1B929">
            <w:pPr>
              <w:adjustRightInd w:val="0"/>
              <w:snapToGrid w:val="0"/>
              <w:spacing w:line="300" w:lineRule="exact"/>
              <w:rPr>
                <w:rFonts w:hint="eastAsia" w:ascii="宋体" w:hAnsi="宋体"/>
              </w:rPr>
            </w:pPr>
            <w:r>
              <w:rPr>
                <w:rFonts w:hint="eastAsia" w:ascii="宋体" w:hAnsi="宋体"/>
              </w:rPr>
              <w:t>在评标过程中，评标委员会应对以下信息进行查询：</w:t>
            </w:r>
          </w:p>
          <w:p w14:paraId="38894844">
            <w:pPr>
              <w:ind w:firstLine="420" w:firstLineChars="200"/>
              <w:rPr>
                <w:rFonts w:hint="eastAsia"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14:paraId="05A6218A">
            <w:pPr>
              <w:spacing w:line="360" w:lineRule="exact"/>
              <w:ind w:firstLine="420" w:firstLineChars="200"/>
              <w:rPr>
                <w:rFonts w:hint="eastAsia" w:ascii="宋体" w:hAnsi="宋体"/>
                <w:szCs w:val="21"/>
              </w:rPr>
            </w:pPr>
            <w:r>
              <w:rPr>
                <w:rFonts w:hint="eastAsia" w:ascii="宋体" w:hAnsi="宋体"/>
                <w:szCs w:val="21"/>
              </w:rPr>
              <w:t>（2）评标委员会评标时在“信用中国网站（http://www.creditchina.gov.cn/)”进行查询，若投标人存在被列入“失信被执行人（或中国执行信息公开网http://zxgk.court.gov.cn/shixin/被执行人查询）、经营异常名录信息查询、重大税收违法失信主体、政府采购严重违法失信行为记录名单”情形的（均不含分公司），评标委员会应否决其投标。</w:t>
            </w:r>
          </w:p>
          <w:p w14:paraId="51614D86">
            <w:pPr>
              <w:spacing w:line="360" w:lineRule="exact"/>
              <w:ind w:firstLine="420" w:firstLineChars="200"/>
              <w:rPr>
                <w:rFonts w:ascii="Calibri" w:hAnsi="Calibri"/>
                <w:szCs w:val="24"/>
              </w:rPr>
            </w:pPr>
            <w:r>
              <w:rPr>
                <w:rFonts w:hint="eastAsia" w:ascii="宋体" w:hAnsi="宋体"/>
                <w:szCs w:val="21"/>
              </w:rPr>
              <w:t>如投标人未提供相关网页截图或所附截图与复核结果不一致，评标委员会应否决其投标。</w:t>
            </w:r>
          </w:p>
          <w:p w14:paraId="1CE7F5D5">
            <w:pPr>
              <w:spacing w:line="360" w:lineRule="exact"/>
              <w:ind w:firstLine="420" w:firstLineChars="200"/>
            </w:pPr>
            <w:r>
              <w:rPr>
                <w:rFonts w:hint="eastAsia" w:ascii="宋体" w:hAnsi="宋体"/>
                <w:szCs w:val="21"/>
              </w:rPr>
              <w:t>（</w:t>
            </w:r>
            <w:r>
              <w:rPr>
                <w:rFonts w:ascii="宋体" w:hAnsi="宋体"/>
                <w:szCs w:val="21"/>
              </w:rPr>
              <w:t>3</w:t>
            </w:r>
            <w:r>
              <w:rPr>
                <w:rFonts w:hint="eastAsia" w:ascii="宋体" w:hAnsi="宋体"/>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1823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14:paraId="599A866A">
            <w:pPr>
              <w:rPr>
                <w:rFonts w:hint="eastAsia" w:ascii="宋体" w:hAnsi="宋体"/>
                <w:szCs w:val="21"/>
              </w:rPr>
            </w:pPr>
            <w:r>
              <w:rPr>
                <w:rFonts w:hint="eastAsia" w:ascii="宋体" w:hAnsi="宋体"/>
                <w:szCs w:val="21"/>
              </w:rPr>
              <w:t>需要补充的其他内容：无</w:t>
            </w:r>
          </w:p>
        </w:tc>
      </w:tr>
    </w:tbl>
    <w:p w14:paraId="24EF84C3">
      <w:pPr>
        <w:jc w:val="left"/>
        <w:rPr>
          <w:rFonts w:hint="eastAsia" w:ascii="宋体" w:hAnsi="宋体"/>
          <w:szCs w:val="21"/>
        </w:rPr>
      </w:pPr>
      <w:r>
        <w:rPr>
          <w:rFonts w:ascii="宋体" w:hAnsi="宋体"/>
          <w:szCs w:val="21"/>
        </w:rPr>
        <w:br w:type="page"/>
      </w:r>
      <w:r>
        <w:rPr>
          <w:rFonts w:hint="eastAsia" w:ascii="宋体" w:hAnsi="宋体"/>
          <w:szCs w:val="21"/>
        </w:rPr>
        <w:t>具体评分标准如下：</w:t>
      </w:r>
    </w:p>
    <w:tbl>
      <w:tblPr>
        <w:tblStyle w:val="5"/>
        <w:tblW w:w="971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57" w:type="dxa"/>
          <w:bottom w:w="0" w:type="dxa"/>
          <w:right w:w="57" w:type="dxa"/>
        </w:tblCellMar>
      </w:tblPr>
      <w:tblGrid>
        <w:gridCol w:w="735"/>
        <w:gridCol w:w="1030"/>
        <w:gridCol w:w="1124"/>
        <w:gridCol w:w="843"/>
        <w:gridCol w:w="5978"/>
      </w:tblGrid>
      <w:tr w14:paraId="7145FE6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1" w:hRule="atLeast"/>
          <w:jc w:val="center"/>
        </w:trPr>
        <w:tc>
          <w:tcPr>
            <w:tcW w:w="735" w:type="dxa"/>
            <w:vAlign w:val="center"/>
          </w:tcPr>
          <w:p w14:paraId="13C4E244">
            <w:pPr>
              <w:jc w:val="center"/>
              <w:rPr>
                <w:rFonts w:hint="eastAsia" w:ascii="宋体" w:hAnsi="宋体"/>
                <w:szCs w:val="21"/>
              </w:rPr>
            </w:pPr>
            <w:r>
              <w:rPr>
                <w:rFonts w:hint="eastAsia" w:ascii="宋体" w:hAnsi="宋体"/>
                <w:szCs w:val="21"/>
              </w:rPr>
              <w:t>序号</w:t>
            </w:r>
          </w:p>
        </w:tc>
        <w:tc>
          <w:tcPr>
            <w:tcW w:w="2154" w:type="dxa"/>
            <w:gridSpan w:val="2"/>
            <w:vAlign w:val="center"/>
          </w:tcPr>
          <w:p w14:paraId="032911BD">
            <w:pPr>
              <w:jc w:val="center"/>
              <w:rPr>
                <w:rFonts w:hint="eastAsia" w:ascii="宋体" w:hAnsi="宋体"/>
                <w:szCs w:val="21"/>
              </w:rPr>
            </w:pPr>
            <w:r>
              <w:rPr>
                <w:rFonts w:hint="eastAsia" w:ascii="宋体" w:hAnsi="宋体"/>
                <w:szCs w:val="21"/>
              </w:rPr>
              <w:t>评审项目</w:t>
            </w:r>
          </w:p>
        </w:tc>
        <w:tc>
          <w:tcPr>
            <w:tcW w:w="843" w:type="dxa"/>
            <w:vAlign w:val="center"/>
          </w:tcPr>
          <w:p w14:paraId="599A3AA1">
            <w:pPr>
              <w:jc w:val="center"/>
              <w:rPr>
                <w:rFonts w:hint="eastAsia" w:ascii="宋体" w:hAnsi="宋体"/>
                <w:szCs w:val="21"/>
              </w:rPr>
            </w:pPr>
            <w:r>
              <w:rPr>
                <w:rFonts w:hint="eastAsia" w:ascii="宋体" w:hAnsi="宋体"/>
                <w:szCs w:val="21"/>
              </w:rPr>
              <w:t>标准分</w:t>
            </w:r>
          </w:p>
        </w:tc>
        <w:tc>
          <w:tcPr>
            <w:tcW w:w="5978" w:type="dxa"/>
            <w:vAlign w:val="center"/>
          </w:tcPr>
          <w:p w14:paraId="0CC80A76">
            <w:pPr>
              <w:jc w:val="center"/>
              <w:rPr>
                <w:rFonts w:hint="eastAsia" w:ascii="宋体" w:hAnsi="宋体"/>
                <w:szCs w:val="21"/>
              </w:rPr>
            </w:pPr>
            <w:r>
              <w:rPr>
                <w:rFonts w:hint="eastAsia" w:ascii="宋体" w:hAnsi="宋体"/>
                <w:szCs w:val="21"/>
              </w:rPr>
              <w:t>评</w:t>
            </w:r>
            <w:r>
              <w:rPr>
                <w:rFonts w:ascii="宋体" w:hAnsi="宋体"/>
                <w:szCs w:val="21"/>
              </w:rPr>
              <w:t xml:space="preserve">     </w:t>
            </w:r>
            <w:r>
              <w:rPr>
                <w:rFonts w:hint="eastAsia" w:ascii="宋体" w:hAnsi="宋体"/>
                <w:szCs w:val="21"/>
              </w:rPr>
              <w:t>分</w:t>
            </w:r>
            <w:r>
              <w:rPr>
                <w:rFonts w:ascii="宋体" w:hAnsi="宋体"/>
                <w:szCs w:val="21"/>
              </w:rPr>
              <w:t xml:space="preserve">     </w:t>
            </w:r>
            <w:r>
              <w:rPr>
                <w:rFonts w:hint="eastAsia" w:ascii="宋体" w:hAnsi="宋体"/>
                <w:szCs w:val="21"/>
              </w:rPr>
              <w:t>标</w:t>
            </w:r>
            <w:r>
              <w:rPr>
                <w:rFonts w:ascii="宋体" w:hAnsi="宋体"/>
                <w:szCs w:val="21"/>
              </w:rPr>
              <w:t xml:space="preserve">     </w:t>
            </w:r>
            <w:r>
              <w:rPr>
                <w:rFonts w:hint="eastAsia" w:ascii="宋体" w:hAnsi="宋体"/>
                <w:szCs w:val="21"/>
              </w:rPr>
              <w:t>准</w:t>
            </w:r>
          </w:p>
        </w:tc>
      </w:tr>
      <w:tr w14:paraId="0C255FE1">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735" w:type="dxa"/>
            <w:vAlign w:val="center"/>
          </w:tcPr>
          <w:p w14:paraId="253E5FDC">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（1）</w:t>
            </w:r>
          </w:p>
        </w:tc>
        <w:tc>
          <w:tcPr>
            <w:tcW w:w="2154" w:type="dxa"/>
            <w:gridSpan w:val="2"/>
            <w:vAlign w:val="center"/>
          </w:tcPr>
          <w:p w14:paraId="64F040AE">
            <w:pPr>
              <w:snapToGrid w:val="0"/>
              <w:jc w:val="center"/>
              <w:rPr>
                <w:rFonts w:hint="eastAsia" w:ascii="宋体" w:hAnsi="宋体" w:cs="宋体"/>
                <w:bCs/>
                <w:szCs w:val="21"/>
              </w:rPr>
            </w:pPr>
            <w:r>
              <w:rPr>
                <w:rFonts w:hint="eastAsia" w:ascii="宋体" w:hAnsi="宋体" w:cs="宋体"/>
                <w:bCs/>
                <w:szCs w:val="21"/>
              </w:rPr>
              <w:t>业绩</w:t>
            </w:r>
          </w:p>
        </w:tc>
        <w:tc>
          <w:tcPr>
            <w:tcW w:w="843" w:type="dxa"/>
            <w:vAlign w:val="center"/>
          </w:tcPr>
          <w:p w14:paraId="6FEE312B">
            <w:pPr>
              <w:snapToGrid w:val="0"/>
              <w:jc w:val="center"/>
              <w:rPr>
                <w:rFonts w:hint="eastAsia" w:ascii="宋体" w:hAnsi="宋体" w:cs="宋体"/>
                <w:bCs/>
                <w:szCs w:val="21"/>
              </w:rPr>
            </w:pPr>
            <w:r>
              <w:rPr>
                <w:rFonts w:ascii="宋体" w:hAnsi="宋体" w:cs="宋体"/>
                <w:bCs/>
                <w:szCs w:val="21"/>
              </w:rPr>
              <w:t>20</w:t>
            </w:r>
            <w:r>
              <w:rPr>
                <w:rFonts w:hint="eastAsia" w:ascii="宋体" w:hAnsi="宋体" w:cs="宋体"/>
                <w:bCs/>
                <w:szCs w:val="21"/>
              </w:rPr>
              <w:t>分</w:t>
            </w:r>
          </w:p>
        </w:tc>
        <w:tc>
          <w:tcPr>
            <w:tcW w:w="5978" w:type="dxa"/>
            <w:vAlign w:val="center"/>
          </w:tcPr>
          <w:p w14:paraId="1FE13649">
            <w:pPr>
              <w:snapToGrid w:val="0"/>
              <w:rPr>
                <w:rFonts w:hint="eastAsia" w:ascii="宋体" w:hAnsi="宋体"/>
                <w:szCs w:val="21"/>
              </w:rPr>
            </w:pPr>
            <w:r>
              <w:rPr>
                <w:rFonts w:hint="eastAsia" w:ascii="宋体" w:hAnsi="宋体"/>
                <w:szCs w:val="21"/>
              </w:rPr>
              <w:t>满足资格审查条件(业绩最低要求)得</w:t>
            </w:r>
            <w:r>
              <w:rPr>
                <w:rFonts w:ascii="宋体" w:hAnsi="宋体"/>
                <w:szCs w:val="21"/>
              </w:rPr>
              <w:t>12</w:t>
            </w:r>
            <w:r>
              <w:rPr>
                <w:rFonts w:hint="eastAsia" w:ascii="宋体" w:hAnsi="宋体"/>
                <w:szCs w:val="21"/>
              </w:rPr>
              <w:t>分；</w:t>
            </w:r>
          </w:p>
          <w:p w14:paraId="1DEC4525">
            <w:pPr>
              <w:snapToGrid w:val="0"/>
              <w:rPr>
                <w:rFonts w:hint="eastAsia" w:ascii="宋体" w:hAnsi="宋体" w:cs="宋体"/>
                <w:bCs/>
                <w:szCs w:val="21"/>
              </w:rPr>
            </w:pPr>
            <w:r>
              <w:rPr>
                <w:rFonts w:hint="eastAsia" w:ascii="宋体" w:hAnsi="宋体"/>
                <w:szCs w:val="21"/>
              </w:rPr>
              <w:t>每增加一项满足资格审查条件(业绩最低要求)的</w:t>
            </w:r>
            <w:r>
              <w:rPr>
                <w:rFonts w:hint="eastAsia" w:ascii="宋体" w:hAnsi="宋体" w:cs="宋体"/>
                <w:bCs/>
                <w:szCs w:val="21"/>
              </w:rPr>
              <w:t>业绩加</w:t>
            </w:r>
            <w:r>
              <w:rPr>
                <w:rFonts w:ascii="宋体" w:hAnsi="宋体" w:cs="宋体"/>
                <w:bCs/>
                <w:szCs w:val="21"/>
              </w:rPr>
              <w:t>4</w:t>
            </w:r>
            <w:r>
              <w:rPr>
                <w:rFonts w:hint="eastAsia" w:ascii="宋体" w:hAnsi="宋体" w:cs="宋体"/>
                <w:bCs/>
                <w:szCs w:val="21"/>
              </w:rPr>
              <w:t>分，最高加</w:t>
            </w:r>
            <w:r>
              <w:rPr>
                <w:rFonts w:ascii="宋体" w:hAnsi="宋体" w:cs="宋体"/>
                <w:bCs/>
                <w:szCs w:val="21"/>
              </w:rPr>
              <w:t>8</w:t>
            </w:r>
            <w:r>
              <w:rPr>
                <w:rFonts w:hint="eastAsia" w:ascii="宋体" w:hAnsi="宋体" w:cs="宋体"/>
                <w:bCs/>
                <w:szCs w:val="21"/>
              </w:rPr>
              <w:t>分。</w:t>
            </w:r>
          </w:p>
        </w:tc>
      </w:tr>
      <w:tr w14:paraId="510E3188">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322" w:hRule="exact"/>
          <w:jc w:val="center"/>
        </w:trPr>
        <w:tc>
          <w:tcPr>
            <w:tcW w:w="735" w:type="dxa"/>
            <w:vMerge w:val="restart"/>
            <w:tcBorders>
              <w:right w:val="single" w:color="auto" w:sz="2" w:space="0"/>
            </w:tcBorders>
            <w:vAlign w:val="center"/>
          </w:tcPr>
          <w:p w14:paraId="10DC0080">
            <w:pPr>
              <w:snapToGrid w:val="0"/>
              <w:jc w:val="center"/>
              <w:rPr>
                <w:rFonts w:hint="eastAsia" w:ascii="宋体" w:hAnsi="宋体" w:cs="宋体"/>
                <w:bCs/>
                <w:w w:val="90"/>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2</w:t>
            </w:r>
            <w:r>
              <w:rPr>
                <w:rFonts w:hint="eastAsia" w:ascii="宋体" w:hAnsi="宋体" w:cs="宋体"/>
                <w:bCs/>
                <w:w w:val="90"/>
                <w:szCs w:val="21"/>
              </w:rPr>
              <w:t>）</w:t>
            </w:r>
          </w:p>
        </w:tc>
        <w:tc>
          <w:tcPr>
            <w:tcW w:w="1030" w:type="dxa"/>
            <w:vMerge w:val="restart"/>
            <w:tcBorders>
              <w:left w:val="single" w:color="auto" w:sz="2" w:space="0"/>
              <w:right w:val="single" w:color="auto" w:sz="2" w:space="0"/>
            </w:tcBorders>
            <w:vAlign w:val="center"/>
          </w:tcPr>
          <w:p w14:paraId="630BE618">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服务方案</w:t>
            </w:r>
          </w:p>
          <w:p w14:paraId="5A871E61">
            <w:pPr>
              <w:snapToGrid w:val="0"/>
              <w:spacing w:before="120" w:beforeLines="50" w:after="120" w:afterLines="50"/>
              <w:jc w:val="center"/>
              <w:rPr>
                <w:rFonts w:hint="eastAsia" w:ascii="宋体" w:hAnsi="宋体" w:cs="宋体"/>
                <w:bCs/>
                <w:szCs w:val="21"/>
              </w:rPr>
            </w:pPr>
            <w:r>
              <w:rPr>
                <w:rFonts w:hint="eastAsia" w:ascii="宋体" w:hAnsi="宋体" w:cs="宋体"/>
                <w:bCs/>
                <w:szCs w:val="21"/>
              </w:rPr>
              <w:t>（</w:t>
            </w:r>
            <w:r>
              <w:rPr>
                <w:rFonts w:ascii="宋体" w:hAnsi="宋体" w:cs="宋体"/>
                <w:bCs/>
                <w:szCs w:val="21"/>
              </w:rPr>
              <w:t>50</w:t>
            </w:r>
            <w:r>
              <w:rPr>
                <w:rFonts w:hint="eastAsia" w:ascii="宋体" w:hAnsi="宋体" w:cs="宋体"/>
                <w:bCs/>
                <w:szCs w:val="21"/>
              </w:rPr>
              <w:t>分）</w:t>
            </w:r>
          </w:p>
        </w:tc>
        <w:tc>
          <w:tcPr>
            <w:tcW w:w="1124" w:type="dxa"/>
            <w:tcBorders>
              <w:left w:val="single" w:color="auto" w:sz="2" w:space="0"/>
            </w:tcBorders>
            <w:vAlign w:val="center"/>
          </w:tcPr>
          <w:p w14:paraId="0CA54C27">
            <w:pPr>
              <w:snapToGrid w:val="0"/>
              <w:spacing w:before="120" w:beforeLines="50" w:after="120" w:afterLines="50"/>
              <w:jc w:val="center"/>
              <w:rPr>
                <w:rFonts w:hint="eastAsia" w:ascii="宋体" w:hAnsi="宋体" w:cs="仿宋"/>
                <w:bCs/>
                <w:szCs w:val="21"/>
              </w:rPr>
            </w:pPr>
            <w:r>
              <w:rPr>
                <w:rFonts w:hint="eastAsia" w:ascii="宋体" w:hAnsi="宋体" w:cs="仿宋"/>
                <w:bCs/>
                <w:szCs w:val="21"/>
              </w:rPr>
              <w:t>货物技术指标</w:t>
            </w:r>
          </w:p>
        </w:tc>
        <w:tc>
          <w:tcPr>
            <w:tcW w:w="843" w:type="dxa"/>
            <w:vAlign w:val="center"/>
          </w:tcPr>
          <w:p w14:paraId="3C6730A3">
            <w:pPr>
              <w:snapToGrid w:val="0"/>
              <w:jc w:val="center"/>
              <w:rPr>
                <w:rFonts w:hint="eastAsia" w:ascii="宋体" w:hAnsi="宋体" w:cs="宋体"/>
                <w:bCs/>
                <w:szCs w:val="21"/>
              </w:rPr>
            </w:pPr>
            <w:r>
              <w:rPr>
                <w:rFonts w:hint="eastAsia" w:ascii="宋体" w:hAnsi="宋体" w:cs="仿宋"/>
                <w:bCs/>
                <w:szCs w:val="21"/>
              </w:rPr>
              <w:t>20分</w:t>
            </w:r>
          </w:p>
        </w:tc>
        <w:tc>
          <w:tcPr>
            <w:tcW w:w="5978" w:type="dxa"/>
            <w:vAlign w:val="center"/>
          </w:tcPr>
          <w:p w14:paraId="06D53245">
            <w:pPr>
              <w:snapToGrid w:val="0"/>
              <w:spacing w:before="120" w:beforeLines="50" w:after="120" w:afterLines="50"/>
              <w:jc w:val="left"/>
              <w:rPr>
                <w:rFonts w:hint="eastAsia" w:ascii="宋体" w:hAnsi="宋体" w:cs="仿宋"/>
                <w:bCs/>
                <w:szCs w:val="21"/>
              </w:rPr>
            </w:pPr>
            <w:r>
              <w:rPr>
                <w:rFonts w:hint="eastAsia" w:ascii="宋体" w:hAnsi="宋体" w:cs="仿宋"/>
                <w:bCs/>
                <w:szCs w:val="21"/>
              </w:rPr>
              <w:t>满足招标文件要求，货物参数、整体性能优良，得16-20分；</w:t>
            </w:r>
          </w:p>
          <w:p w14:paraId="26697D8C">
            <w:pPr>
              <w:pStyle w:val="2"/>
              <w:spacing w:before="120" w:beforeLines="50" w:after="120" w:afterLines="50"/>
              <w:ind w:left="0"/>
              <w:rPr>
                <w:rFonts w:hint="eastAsia" w:cs="仿宋"/>
                <w:bCs/>
                <w:kern w:val="2"/>
                <w:sz w:val="21"/>
                <w:szCs w:val="21"/>
                <w:lang w:eastAsia="zh-CN"/>
              </w:rPr>
            </w:pPr>
            <w:r>
              <w:rPr>
                <w:rFonts w:hint="eastAsia" w:cs="仿宋"/>
                <w:bCs/>
                <w:kern w:val="2"/>
                <w:sz w:val="21"/>
                <w:szCs w:val="21"/>
                <w:lang w:eastAsia="zh-CN"/>
              </w:rPr>
              <w:t>满足</w:t>
            </w:r>
            <w:r>
              <w:rPr>
                <w:rFonts w:hint="eastAsia" w:cs="仿宋"/>
                <w:bCs/>
                <w:szCs w:val="21"/>
                <w:lang w:eastAsia="zh-CN"/>
              </w:rPr>
              <w:t>招标</w:t>
            </w:r>
            <w:r>
              <w:rPr>
                <w:rFonts w:hint="eastAsia" w:cs="仿宋"/>
                <w:bCs/>
                <w:kern w:val="2"/>
                <w:sz w:val="21"/>
                <w:szCs w:val="21"/>
                <w:lang w:eastAsia="zh-CN"/>
              </w:rPr>
              <w:t>文件要求，货物参数、整体性能良好，得12-16分；</w:t>
            </w:r>
          </w:p>
          <w:p w14:paraId="4C0403AF">
            <w:pPr>
              <w:pStyle w:val="3"/>
              <w:spacing w:before="120" w:beforeLines="50" w:afterLines="50"/>
              <w:jc w:val="left"/>
              <w:rPr>
                <w:rFonts w:hint="eastAsia" w:ascii="宋体" w:hAnsi="宋体" w:cs="仿宋"/>
                <w:bCs/>
                <w:sz w:val="21"/>
                <w:szCs w:val="21"/>
              </w:rPr>
            </w:pPr>
            <w:r>
              <w:rPr>
                <w:rFonts w:hint="eastAsia" w:ascii="宋体" w:hAnsi="宋体" w:cs="仿宋"/>
                <w:bCs/>
                <w:sz w:val="21"/>
                <w:szCs w:val="21"/>
              </w:rPr>
              <w:t>满足招标文件要求，得12分；</w:t>
            </w:r>
          </w:p>
        </w:tc>
      </w:tr>
      <w:tr w14:paraId="35D6DB9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554" w:hRule="exact"/>
          <w:jc w:val="center"/>
        </w:trPr>
        <w:tc>
          <w:tcPr>
            <w:tcW w:w="735" w:type="dxa"/>
            <w:vMerge w:val="continue"/>
            <w:tcBorders>
              <w:right w:val="single" w:color="auto" w:sz="2" w:space="0"/>
            </w:tcBorders>
            <w:vAlign w:val="center"/>
          </w:tcPr>
          <w:p w14:paraId="288F09E5">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127B67B7">
            <w:pPr>
              <w:snapToGrid w:val="0"/>
              <w:jc w:val="center"/>
              <w:rPr>
                <w:rFonts w:hint="eastAsia" w:ascii="宋体" w:hAnsi="宋体" w:cs="宋体"/>
                <w:bCs/>
                <w:szCs w:val="21"/>
              </w:rPr>
            </w:pPr>
          </w:p>
        </w:tc>
        <w:tc>
          <w:tcPr>
            <w:tcW w:w="1124" w:type="dxa"/>
            <w:tcBorders>
              <w:left w:val="single" w:color="auto" w:sz="2" w:space="0"/>
            </w:tcBorders>
            <w:vAlign w:val="center"/>
          </w:tcPr>
          <w:p w14:paraId="2346A2EF">
            <w:pPr>
              <w:snapToGrid w:val="0"/>
              <w:jc w:val="center"/>
              <w:rPr>
                <w:rFonts w:hint="eastAsia" w:ascii="宋体" w:hAnsi="宋体" w:cs="宋体"/>
                <w:bCs/>
                <w:szCs w:val="21"/>
              </w:rPr>
            </w:pPr>
            <w:r>
              <w:rPr>
                <w:rFonts w:hint="eastAsia" w:ascii="宋体" w:hAnsi="宋体" w:cs="仿宋"/>
                <w:bCs/>
                <w:szCs w:val="21"/>
              </w:rPr>
              <w:t>供货方案及保证措施</w:t>
            </w:r>
          </w:p>
        </w:tc>
        <w:tc>
          <w:tcPr>
            <w:tcW w:w="843" w:type="dxa"/>
            <w:vAlign w:val="center"/>
          </w:tcPr>
          <w:p w14:paraId="67E5814A">
            <w:pPr>
              <w:snapToGrid w:val="0"/>
              <w:jc w:val="center"/>
              <w:rPr>
                <w:rFonts w:hint="eastAsia" w:ascii="宋体" w:hAnsi="宋体" w:cs="宋体"/>
                <w:bCs/>
                <w:szCs w:val="21"/>
              </w:rPr>
            </w:pPr>
            <w:r>
              <w:rPr>
                <w:rFonts w:hint="eastAsia" w:ascii="宋体" w:hAnsi="宋体" w:cs="仿宋"/>
                <w:bCs/>
                <w:szCs w:val="21"/>
              </w:rPr>
              <w:t>10分</w:t>
            </w:r>
          </w:p>
        </w:tc>
        <w:tc>
          <w:tcPr>
            <w:tcW w:w="5978" w:type="dxa"/>
            <w:vAlign w:val="center"/>
          </w:tcPr>
          <w:p w14:paraId="42E05B71">
            <w:pPr>
              <w:pStyle w:val="2"/>
              <w:spacing w:before="120" w:beforeLines="50" w:after="120" w:afterLines="50"/>
              <w:ind w:left="0"/>
              <w:rPr>
                <w:rFonts w:hint="eastAsia" w:cs="仿宋"/>
                <w:bCs/>
                <w:kern w:val="2"/>
                <w:sz w:val="21"/>
                <w:szCs w:val="21"/>
                <w:lang w:eastAsia="zh-CN"/>
              </w:rPr>
            </w:pPr>
            <w:r>
              <w:rPr>
                <w:rFonts w:hint="eastAsia" w:cs="仿宋"/>
                <w:bCs/>
                <w:kern w:val="2"/>
                <w:sz w:val="21"/>
                <w:szCs w:val="21"/>
                <w:lang w:eastAsia="zh-CN"/>
              </w:rPr>
              <w:t>供货方案及保证措施具体、科学、合理得8-10分；</w:t>
            </w:r>
          </w:p>
          <w:p w14:paraId="424DD6DD">
            <w:pPr>
              <w:pStyle w:val="2"/>
              <w:spacing w:before="120" w:beforeLines="50" w:after="120" w:afterLines="50"/>
              <w:ind w:left="0"/>
              <w:rPr>
                <w:rFonts w:hint="eastAsia" w:cs="仿宋"/>
                <w:bCs/>
                <w:kern w:val="2"/>
                <w:sz w:val="21"/>
                <w:szCs w:val="21"/>
                <w:lang w:eastAsia="zh-CN"/>
              </w:rPr>
            </w:pPr>
            <w:r>
              <w:rPr>
                <w:rFonts w:hint="eastAsia" w:cs="仿宋"/>
                <w:bCs/>
                <w:kern w:val="2"/>
                <w:sz w:val="21"/>
                <w:szCs w:val="21"/>
                <w:lang w:eastAsia="zh-CN"/>
              </w:rPr>
              <w:t>供货方案及保证措施较好，得6-8分；</w:t>
            </w:r>
          </w:p>
          <w:p w14:paraId="7B1027E1">
            <w:pPr>
              <w:pStyle w:val="2"/>
              <w:spacing w:before="120" w:beforeLines="50" w:after="120" w:afterLines="50"/>
              <w:ind w:left="0"/>
              <w:rPr>
                <w:rFonts w:hint="eastAsia"/>
                <w:lang w:eastAsia="zh-CN"/>
              </w:rPr>
            </w:pPr>
            <w:r>
              <w:rPr>
                <w:rFonts w:hint="eastAsia" w:cs="仿宋"/>
                <w:bCs/>
                <w:kern w:val="2"/>
                <w:sz w:val="21"/>
                <w:szCs w:val="21"/>
                <w:lang w:eastAsia="zh-CN"/>
              </w:rPr>
              <w:t>一般，得6分；</w:t>
            </w:r>
          </w:p>
        </w:tc>
      </w:tr>
      <w:tr w14:paraId="0E6A2BC4">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5" w:hRule="atLeast"/>
          <w:jc w:val="center"/>
        </w:trPr>
        <w:tc>
          <w:tcPr>
            <w:tcW w:w="735" w:type="dxa"/>
            <w:vMerge w:val="continue"/>
            <w:tcBorders>
              <w:right w:val="single" w:color="auto" w:sz="2" w:space="0"/>
            </w:tcBorders>
            <w:vAlign w:val="center"/>
          </w:tcPr>
          <w:p w14:paraId="0EB355FA">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10F5FFAF">
            <w:pPr>
              <w:snapToGrid w:val="0"/>
              <w:jc w:val="center"/>
              <w:rPr>
                <w:rFonts w:hint="eastAsia" w:ascii="宋体" w:hAnsi="宋体" w:cs="宋体"/>
                <w:bCs/>
                <w:szCs w:val="21"/>
              </w:rPr>
            </w:pPr>
          </w:p>
        </w:tc>
        <w:tc>
          <w:tcPr>
            <w:tcW w:w="1124" w:type="dxa"/>
            <w:tcBorders>
              <w:left w:val="single" w:color="auto" w:sz="2" w:space="0"/>
            </w:tcBorders>
            <w:vAlign w:val="center"/>
          </w:tcPr>
          <w:p w14:paraId="485EA854">
            <w:pPr>
              <w:snapToGrid w:val="0"/>
              <w:jc w:val="center"/>
              <w:rPr>
                <w:rFonts w:hint="eastAsia" w:ascii="宋体" w:hAnsi="宋体" w:cs="宋体"/>
                <w:bCs/>
                <w:szCs w:val="21"/>
              </w:rPr>
            </w:pPr>
            <w:bookmarkStart w:id="2" w:name="_Hlk186202870"/>
            <w:r>
              <w:rPr>
                <w:rFonts w:hint="eastAsia" w:ascii="宋体" w:hAnsi="宋体" w:cs="仿宋"/>
                <w:bCs/>
                <w:szCs w:val="21"/>
              </w:rPr>
              <w:t>质量、安全保证措施</w:t>
            </w:r>
            <w:bookmarkEnd w:id="2"/>
          </w:p>
        </w:tc>
        <w:tc>
          <w:tcPr>
            <w:tcW w:w="843" w:type="dxa"/>
            <w:vAlign w:val="center"/>
          </w:tcPr>
          <w:p w14:paraId="726C6A7D">
            <w:pPr>
              <w:snapToGrid w:val="0"/>
              <w:jc w:val="center"/>
              <w:rPr>
                <w:rFonts w:hint="eastAsia" w:ascii="宋体" w:hAnsi="宋体" w:cs="宋体"/>
                <w:bCs/>
                <w:szCs w:val="21"/>
              </w:rPr>
            </w:pPr>
            <w:r>
              <w:rPr>
                <w:rFonts w:hint="eastAsia" w:ascii="宋体" w:hAnsi="宋体" w:cs="仿宋"/>
                <w:bCs/>
                <w:szCs w:val="21"/>
              </w:rPr>
              <w:t>10分</w:t>
            </w:r>
          </w:p>
        </w:tc>
        <w:tc>
          <w:tcPr>
            <w:tcW w:w="5978" w:type="dxa"/>
            <w:vAlign w:val="center"/>
          </w:tcPr>
          <w:p w14:paraId="6D88EE3A">
            <w:pPr>
              <w:pStyle w:val="2"/>
              <w:spacing w:before="120" w:beforeLines="50" w:after="120" w:afterLines="50"/>
              <w:ind w:left="0"/>
              <w:rPr>
                <w:rFonts w:hint="eastAsia" w:cs="仿宋"/>
                <w:bCs/>
                <w:kern w:val="2"/>
                <w:sz w:val="21"/>
                <w:szCs w:val="21"/>
                <w:lang w:eastAsia="zh-CN"/>
              </w:rPr>
            </w:pPr>
            <w:r>
              <w:rPr>
                <w:rFonts w:hint="eastAsia" w:cs="仿宋"/>
                <w:bCs/>
                <w:kern w:val="2"/>
                <w:sz w:val="21"/>
                <w:szCs w:val="21"/>
                <w:lang w:eastAsia="zh-CN"/>
              </w:rPr>
              <w:t>保证体系健全，措施完善、合理、可行，得8-10分；</w:t>
            </w:r>
          </w:p>
          <w:p w14:paraId="4B58C7AF">
            <w:pPr>
              <w:pStyle w:val="2"/>
              <w:spacing w:before="120" w:beforeLines="50" w:after="120" w:afterLines="50"/>
              <w:ind w:left="0"/>
              <w:rPr>
                <w:rFonts w:hint="eastAsia" w:cs="仿宋"/>
                <w:bCs/>
                <w:kern w:val="2"/>
                <w:sz w:val="21"/>
                <w:szCs w:val="21"/>
                <w:lang w:eastAsia="zh-CN"/>
              </w:rPr>
            </w:pPr>
            <w:r>
              <w:rPr>
                <w:rFonts w:hint="eastAsia" w:cs="仿宋"/>
                <w:bCs/>
                <w:kern w:val="2"/>
                <w:sz w:val="21"/>
                <w:szCs w:val="21"/>
                <w:lang w:eastAsia="zh-CN"/>
              </w:rPr>
              <w:t>保证体系较健全，措施较完善、合理，得6-8分；</w:t>
            </w:r>
          </w:p>
          <w:p w14:paraId="1439F49F">
            <w:pPr>
              <w:pStyle w:val="2"/>
              <w:spacing w:before="120" w:beforeLines="50" w:after="120" w:afterLines="50"/>
              <w:ind w:left="0"/>
              <w:rPr>
                <w:rFonts w:hint="eastAsia"/>
                <w:lang w:eastAsia="zh-CN"/>
              </w:rPr>
            </w:pPr>
            <w:r>
              <w:rPr>
                <w:rFonts w:hint="eastAsia" w:cs="仿宋"/>
                <w:bCs/>
                <w:kern w:val="2"/>
                <w:sz w:val="21"/>
                <w:szCs w:val="21"/>
                <w:lang w:eastAsia="zh-CN"/>
              </w:rPr>
              <w:t>保证体系、措施一般，得6分；</w:t>
            </w:r>
          </w:p>
        </w:tc>
      </w:tr>
      <w:tr w14:paraId="67903206">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1765" w:hRule="exact"/>
          <w:jc w:val="center"/>
        </w:trPr>
        <w:tc>
          <w:tcPr>
            <w:tcW w:w="735" w:type="dxa"/>
            <w:vMerge w:val="continue"/>
            <w:tcBorders>
              <w:right w:val="single" w:color="auto" w:sz="2" w:space="0"/>
            </w:tcBorders>
            <w:vAlign w:val="center"/>
          </w:tcPr>
          <w:p w14:paraId="11C29364">
            <w:pPr>
              <w:snapToGrid w:val="0"/>
              <w:jc w:val="center"/>
              <w:rPr>
                <w:rFonts w:hint="eastAsia" w:ascii="宋体" w:hAnsi="宋体" w:cs="宋体"/>
                <w:bCs/>
                <w:w w:val="90"/>
                <w:szCs w:val="21"/>
              </w:rPr>
            </w:pPr>
          </w:p>
        </w:tc>
        <w:tc>
          <w:tcPr>
            <w:tcW w:w="1030" w:type="dxa"/>
            <w:vMerge w:val="continue"/>
            <w:tcBorders>
              <w:left w:val="single" w:color="auto" w:sz="2" w:space="0"/>
              <w:right w:val="single" w:color="auto" w:sz="2" w:space="0"/>
            </w:tcBorders>
            <w:vAlign w:val="center"/>
          </w:tcPr>
          <w:p w14:paraId="709D3140">
            <w:pPr>
              <w:snapToGrid w:val="0"/>
              <w:jc w:val="center"/>
              <w:rPr>
                <w:rFonts w:hint="eastAsia" w:ascii="宋体" w:hAnsi="宋体" w:cs="宋体"/>
                <w:bCs/>
                <w:szCs w:val="21"/>
              </w:rPr>
            </w:pPr>
          </w:p>
        </w:tc>
        <w:tc>
          <w:tcPr>
            <w:tcW w:w="1124" w:type="dxa"/>
            <w:tcBorders>
              <w:left w:val="single" w:color="auto" w:sz="2" w:space="0"/>
            </w:tcBorders>
            <w:vAlign w:val="center"/>
          </w:tcPr>
          <w:p w14:paraId="597760DB">
            <w:pPr>
              <w:snapToGrid w:val="0"/>
              <w:jc w:val="center"/>
              <w:rPr>
                <w:rFonts w:hint="eastAsia" w:ascii="宋体" w:hAnsi="宋体" w:cs="仿宋"/>
                <w:bCs/>
                <w:szCs w:val="21"/>
              </w:rPr>
            </w:pPr>
            <w:r>
              <w:rPr>
                <w:rFonts w:hint="eastAsia" w:hAnsi="宋体" w:cs="宋体"/>
                <w:bCs/>
                <w:szCs w:val="21"/>
              </w:rPr>
              <w:t>售后和质保期服务</w:t>
            </w:r>
          </w:p>
        </w:tc>
        <w:tc>
          <w:tcPr>
            <w:tcW w:w="843" w:type="dxa"/>
            <w:vAlign w:val="center"/>
          </w:tcPr>
          <w:p w14:paraId="53CB8E18">
            <w:pPr>
              <w:snapToGrid w:val="0"/>
              <w:jc w:val="center"/>
              <w:rPr>
                <w:rFonts w:hint="eastAsia" w:ascii="宋体" w:hAnsi="宋体" w:cs="仿宋"/>
                <w:bCs/>
                <w:szCs w:val="21"/>
              </w:rPr>
            </w:pPr>
            <w:r>
              <w:rPr>
                <w:rFonts w:hint="eastAsia" w:ascii="宋体" w:hAnsi="宋体" w:cs="仿宋"/>
                <w:bCs/>
                <w:szCs w:val="21"/>
              </w:rPr>
              <w:t>10分</w:t>
            </w:r>
          </w:p>
        </w:tc>
        <w:tc>
          <w:tcPr>
            <w:tcW w:w="5978" w:type="dxa"/>
            <w:vAlign w:val="center"/>
          </w:tcPr>
          <w:p w14:paraId="332C6F44">
            <w:pPr>
              <w:pStyle w:val="2"/>
              <w:spacing w:before="120" w:beforeLines="50" w:after="120" w:afterLines="50"/>
              <w:ind w:left="0"/>
              <w:rPr>
                <w:rFonts w:hint="eastAsia" w:cs="仿宋"/>
                <w:bCs/>
                <w:kern w:val="2"/>
                <w:sz w:val="21"/>
                <w:szCs w:val="21"/>
                <w:lang w:eastAsia="zh-CN"/>
              </w:rPr>
            </w:pPr>
            <w:r>
              <w:rPr>
                <w:rFonts w:hint="eastAsia" w:cs="仿宋"/>
                <w:bCs/>
                <w:kern w:val="2"/>
                <w:sz w:val="21"/>
                <w:szCs w:val="21"/>
                <w:lang w:eastAsia="zh-CN"/>
              </w:rPr>
              <w:t>售后服务体系完备、承诺周到，得8-10分；</w:t>
            </w:r>
          </w:p>
          <w:p w14:paraId="1EE4BEED">
            <w:pPr>
              <w:pStyle w:val="2"/>
              <w:spacing w:before="120" w:beforeLines="50" w:after="120" w:afterLines="50"/>
              <w:ind w:left="0"/>
              <w:rPr>
                <w:rFonts w:hint="eastAsia" w:cs="仿宋"/>
                <w:bCs/>
                <w:kern w:val="2"/>
                <w:sz w:val="21"/>
                <w:szCs w:val="21"/>
                <w:lang w:eastAsia="zh-CN"/>
              </w:rPr>
            </w:pPr>
            <w:r>
              <w:rPr>
                <w:rFonts w:hint="eastAsia" w:cs="仿宋"/>
                <w:bCs/>
                <w:kern w:val="2"/>
                <w:sz w:val="21"/>
                <w:szCs w:val="21"/>
                <w:lang w:eastAsia="zh-CN"/>
              </w:rPr>
              <w:t>售后服务体系较好，得6-8分；</w:t>
            </w:r>
          </w:p>
          <w:p w14:paraId="43171512">
            <w:pPr>
              <w:pStyle w:val="2"/>
              <w:spacing w:before="120" w:beforeLines="50" w:after="120" w:afterLines="50"/>
              <w:ind w:left="0"/>
              <w:rPr>
                <w:rFonts w:hint="eastAsia"/>
                <w:lang w:eastAsia="zh-CN"/>
              </w:rPr>
            </w:pPr>
            <w:r>
              <w:rPr>
                <w:rFonts w:hint="eastAsia" w:cs="仿宋"/>
                <w:bCs/>
                <w:kern w:val="2"/>
                <w:sz w:val="21"/>
                <w:szCs w:val="21"/>
                <w:lang w:eastAsia="zh-CN"/>
              </w:rPr>
              <w:t>售后服务体系一般，得6分；</w:t>
            </w:r>
          </w:p>
        </w:tc>
      </w:tr>
      <w:tr w14:paraId="1475D3D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664" w:hRule="atLeast"/>
          <w:jc w:val="center"/>
        </w:trPr>
        <w:tc>
          <w:tcPr>
            <w:tcW w:w="735" w:type="dxa"/>
            <w:tcBorders>
              <w:right w:val="single" w:color="auto" w:sz="2" w:space="0"/>
            </w:tcBorders>
            <w:vAlign w:val="center"/>
          </w:tcPr>
          <w:p w14:paraId="1A1DB3EE">
            <w:pPr>
              <w:jc w:val="center"/>
              <w:rPr>
                <w:rFonts w:hint="eastAsia" w:ascii="宋体" w:hAnsi="宋体" w:cs="宋体"/>
                <w:bCs/>
                <w:szCs w:val="21"/>
              </w:rPr>
            </w:pPr>
            <w:r>
              <w:rPr>
                <w:rFonts w:ascii="宋体" w:hAnsi="宋体" w:cs="宋体"/>
                <w:bCs/>
                <w:w w:val="90"/>
                <w:szCs w:val="21"/>
              </w:rPr>
              <w:t>2.2.4</w:t>
            </w:r>
            <w:r>
              <w:rPr>
                <w:rFonts w:hint="eastAsia" w:ascii="宋体" w:hAnsi="宋体" w:cs="宋体"/>
                <w:bCs/>
                <w:w w:val="90"/>
                <w:szCs w:val="21"/>
              </w:rPr>
              <w:t>（</w:t>
            </w:r>
            <w:r>
              <w:rPr>
                <w:rFonts w:ascii="宋体" w:hAnsi="宋体" w:cs="宋体"/>
                <w:bCs/>
                <w:w w:val="90"/>
                <w:szCs w:val="21"/>
              </w:rPr>
              <w:t>3</w:t>
            </w:r>
            <w:r>
              <w:rPr>
                <w:rFonts w:hint="eastAsia" w:ascii="宋体" w:hAnsi="宋体" w:cs="宋体"/>
                <w:bCs/>
                <w:w w:val="90"/>
                <w:szCs w:val="21"/>
              </w:rPr>
              <w:t>）</w:t>
            </w:r>
          </w:p>
        </w:tc>
        <w:tc>
          <w:tcPr>
            <w:tcW w:w="2154" w:type="dxa"/>
            <w:gridSpan w:val="2"/>
            <w:tcBorders>
              <w:left w:val="single" w:color="auto" w:sz="2" w:space="0"/>
            </w:tcBorders>
            <w:vAlign w:val="center"/>
          </w:tcPr>
          <w:p w14:paraId="008C6E02">
            <w:pPr>
              <w:jc w:val="center"/>
              <w:rPr>
                <w:rFonts w:hint="eastAsia" w:ascii="宋体" w:hAnsi="宋体" w:cs="宋体"/>
                <w:bCs/>
                <w:szCs w:val="21"/>
              </w:rPr>
            </w:pPr>
            <w:r>
              <w:rPr>
                <w:rFonts w:hint="eastAsia" w:ascii="宋体" w:hAnsi="宋体" w:cs="宋体"/>
                <w:bCs/>
                <w:szCs w:val="21"/>
              </w:rPr>
              <w:t>评标价</w:t>
            </w:r>
          </w:p>
        </w:tc>
        <w:tc>
          <w:tcPr>
            <w:tcW w:w="843" w:type="dxa"/>
            <w:vAlign w:val="center"/>
          </w:tcPr>
          <w:p w14:paraId="2664ED36">
            <w:pPr>
              <w:jc w:val="center"/>
              <w:rPr>
                <w:rFonts w:hint="eastAsia" w:ascii="宋体" w:hAnsi="宋体" w:cs="宋体"/>
                <w:bCs/>
                <w:szCs w:val="21"/>
              </w:rPr>
            </w:pPr>
            <w:r>
              <w:rPr>
                <w:rFonts w:ascii="宋体" w:hAnsi="宋体" w:cs="宋体"/>
                <w:bCs/>
                <w:szCs w:val="21"/>
              </w:rPr>
              <w:t>30</w:t>
            </w:r>
            <w:r>
              <w:rPr>
                <w:rFonts w:hint="eastAsia" w:ascii="宋体" w:hAnsi="宋体" w:cs="宋体"/>
                <w:bCs/>
                <w:szCs w:val="21"/>
              </w:rPr>
              <w:t>分</w:t>
            </w:r>
          </w:p>
        </w:tc>
        <w:tc>
          <w:tcPr>
            <w:tcW w:w="5978" w:type="dxa"/>
            <w:vAlign w:val="center"/>
          </w:tcPr>
          <w:p w14:paraId="08ED0A16">
            <w:pPr>
              <w:rPr>
                <w:rFonts w:hint="eastAsia" w:ascii="宋体" w:hAnsi="宋体"/>
                <w:szCs w:val="21"/>
              </w:rPr>
            </w:pPr>
            <w:r>
              <w:rPr>
                <w:rFonts w:hint="eastAsia" w:ascii="宋体" w:hAnsi="宋体"/>
                <w:szCs w:val="21"/>
              </w:rPr>
              <w:t>评标价得分计算公式示例：</w:t>
            </w:r>
          </w:p>
          <w:p w14:paraId="08A8A854">
            <w:pPr>
              <w:ind w:firstLine="243" w:firstLineChars="116"/>
              <w:rPr>
                <w:rFonts w:hint="eastAsia" w:ascii="宋体" w:hAnsi="宋体"/>
                <w:szCs w:val="21"/>
              </w:rPr>
            </w:pPr>
            <w:r>
              <w:rPr>
                <w:rFonts w:hint="eastAsia" w:ascii="宋体" w:hAnsi="宋体"/>
                <w:szCs w:val="21"/>
              </w:rPr>
              <w:t>（1）如果投标人的评标价＞评标基准价，则评标价得分=F-（投标人评标价-评标基准价）/评标基准价×100×E1；</w:t>
            </w:r>
          </w:p>
          <w:p w14:paraId="494E4E6F">
            <w:pPr>
              <w:ind w:firstLine="243" w:firstLineChars="116"/>
              <w:rPr>
                <w:rFonts w:hint="eastAsia" w:ascii="宋体" w:hAnsi="宋体"/>
                <w:szCs w:val="21"/>
              </w:rPr>
            </w:pPr>
            <w:r>
              <w:rPr>
                <w:rFonts w:hint="eastAsia" w:ascii="宋体" w:hAnsi="宋体"/>
                <w:szCs w:val="21"/>
              </w:rPr>
              <w:t>（2）如果投标人的评标价≤评标基准价，则评标价得分=F+(投标人评标价-评标基准价)/评标基准价×100×E2。</w:t>
            </w:r>
          </w:p>
          <w:p w14:paraId="5C23C516">
            <w:pPr>
              <w:ind w:firstLine="243" w:firstLineChars="116"/>
              <w:rPr>
                <w:rFonts w:hint="eastAsia" w:ascii="宋体" w:hAnsi="宋体"/>
                <w:szCs w:val="21"/>
              </w:rPr>
            </w:pPr>
            <w:r>
              <w:rPr>
                <w:rFonts w:hint="eastAsia" w:ascii="宋体" w:hAnsi="宋体"/>
                <w:szCs w:val="21"/>
              </w:rPr>
              <w:t>其中，F=</w:t>
            </w:r>
            <w:r>
              <w:rPr>
                <w:rFonts w:ascii="宋体" w:hAnsi="宋体"/>
                <w:szCs w:val="21"/>
              </w:rPr>
              <w:t>3</w:t>
            </w:r>
            <w:r>
              <w:rPr>
                <w:rFonts w:hint="eastAsia" w:ascii="宋体" w:hAnsi="宋体"/>
                <w:szCs w:val="21"/>
              </w:rPr>
              <w:t>0；E1=0.</w:t>
            </w:r>
            <w:r>
              <w:rPr>
                <w:rFonts w:ascii="宋体" w:hAnsi="宋体"/>
                <w:szCs w:val="21"/>
              </w:rPr>
              <w:t>2</w:t>
            </w:r>
            <w:r>
              <w:rPr>
                <w:rFonts w:hint="eastAsia" w:ascii="宋体" w:hAnsi="宋体"/>
                <w:szCs w:val="21"/>
              </w:rPr>
              <w:t>；E2=0.</w:t>
            </w:r>
            <w:r>
              <w:rPr>
                <w:rFonts w:ascii="宋体" w:hAnsi="宋体"/>
                <w:szCs w:val="21"/>
              </w:rPr>
              <w:t>1</w:t>
            </w:r>
            <w:r>
              <w:rPr>
                <w:rFonts w:hint="eastAsia" w:ascii="宋体" w:hAnsi="宋体"/>
                <w:szCs w:val="21"/>
              </w:rPr>
              <w:t>。</w:t>
            </w:r>
          </w:p>
          <w:p w14:paraId="634CCD88">
            <w:pPr>
              <w:ind w:firstLine="243" w:firstLineChars="116"/>
            </w:pPr>
            <w:r>
              <w:rPr>
                <w:rFonts w:hint="eastAsia" w:ascii="宋体" w:hAnsi="宋体"/>
                <w:szCs w:val="21"/>
              </w:rPr>
              <w:t>评标价最低得分为0分，评标价得分保留两位小数，第三位四舍五入。</w:t>
            </w:r>
          </w:p>
        </w:tc>
      </w:tr>
      <w:tr w14:paraId="2C74D4D9">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57" w:type="dxa"/>
            <w:bottom w:w="0" w:type="dxa"/>
            <w:right w:w="57" w:type="dxa"/>
          </w:tblCellMar>
        </w:tblPrEx>
        <w:trPr>
          <w:trHeight w:val="567" w:hRule="atLeast"/>
          <w:jc w:val="center"/>
        </w:trPr>
        <w:tc>
          <w:tcPr>
            <w:tcW w:w="2889" w:type="dxa"/>
            <w:gridSpan w:val="3"/>
            <w:vAlign w:val="center"/>
          </w:tcPr>
          <w:p w14:paraId="074DAFFD">
            <w:pPr>
              <w:jc w:val="center"/>
              <w:rPr>
                <w:rFonts w:hint="eastAsia" w:ascii="宋体" w:hAnsi="宋体" w:cs="宋体"/>
                <w:bCs/>
                <w:szCs w:val="21"/>
              </w:rPr>
            </w:pPr>
            <w:r>
              <w:rPr>
                <w:rFonts w:hint="eastAsia" w:ascii="宋体" w:hAnsi="宋体" w:cs="宋体"/>
                <w:bCs/>
                <w:szCs w:val="21"/>
              </w:rPr>
              <w:t>合计</w:t>
            </w:r>
          </w:p>
        </w:tc>
        <w:tc>
          <w:tcPr>
            <w:tcW w:w="843" w:type="dxa"/>
            <w:vAlign w:val="center"/>
          </w:tcPr>
          <w:p w14:paraId="4A652333">
            <w:pPr>
              <w:jc w:val="center"/>
              <w:rPr>
                <w:rFonts w:hint="eastAsia" w:ascii="宋体" w:hAnsi="宋体" w:cs="宋体"/>
                <w:bCs/>
                <w:szCs w:val="21"/>
              </w:rPr>
            </w:pPr>
            <w:r>
              <w:rPr>
                <w:rFonts w:ascii="宋体" w:hAnsi="宋体" w:cs="宋体"/>
                <w:bCs/>
                <w:szCs w:val="21"/>
              </w:rPr>
              <w:t>100</w:t>
            </w:r>
            <w:r>
              <w:rPr>
                <w:rFonts w:hint="eastAsia" w:ascii="宋体" w:hAnsi="宋体" w:cs="宋体"/>
                <w:bCs/>
                <w:szCs w:val="21"/>
              </w:rPr>
              <w:t>分</w:t>
            </w:r>
          </w:p>
        </w:tc>
        <w:tc>
          <w:tcPr>
            <w:tcW w:w="5978" w:type="dxa"/>
            <w:vAlign w:val="center"/>
          </w:tcPr>
          <w:p w14:paraId="25042E66">
            <w:pPr>
              <w:jc w:val="center"/>
              <w:rPr>
                <w:rFonts w:hint="eastAsia" w:ascii="宋体" w:hAnsi="宋体" w:cs="宋体"/>
                <w:bCs/>
                <w:szCs w:val="21"/>
              </w:rPr>
            </w:pPr>
          </w:p>
        </w:tc>
      </w:tr>
    </w:tbl>
    <w:p w14:paraId="191661D9">
      <w:pPr>
        <w:spacing w:line="312" w:lineRule="auto"/>
        <w:rPr>
          <w:rFonts w:hint="eastAsia" w:ascii="宋体" w:hAnsi="宋体"/>
          <w:szCs w:val="21"/>
        </w:rPr>
      </w:pPr>
      <w:r>
        <w:rPr>
          <w:rFonts w:hint="eastAsia" w:ascii="宋体" w:hAnsi="宋体"/>
          <w:szCs w:val="21"/>
        </w:rPr>
        <w:t>注：1、各分项得分为各评委打分算术平均值，评委打分平均值保留两位小数，第三位四舍五入。</w:t>
      </w:r>
    </w:p>
    <w:p w14:paraId="0AB49395">
      <w:pPr>
        <w:spacing w:line="312" w:lineRule="auto"/>
        <w:ind w:firstLine="420" w:firstLineChars="200"/>
        <w:rPr>
          <w:rFonts w:hint="eastAsia" w:ascii="宋体" w:hAnsi="宋体"/>
          <w:sz w:val="20"/>
          <w:szCs w:val="20"/>
        </w:rPr>
      </w:pPr>
      <w:r>
        <w:rPr>
          <w:rFonts w:hint="eastAsia" w:ascii="宋体" w:hAnsi="宋体"/>
          <w:szCs w:val="21"/>
        </w:rPr>
        <w:t>2、服务方案缺项则该项得0分。</w:t>
      </w:r>
    </w:p>
    <w:bookmarkEnd w:id="1"/>
    <w:p w14:paraId="69717608">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068B7"/>
    <w:rsid w:val="18C068B7"/>
    <w:rsid w:val="33A5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3"/>
    <w:basedOn w:val="1"/>
    <w:next w:val="1"/>
    <w:qFormat/>
    <w:uiPriority w:val="9"/>
    <w:pPr>
      <w:keepNext/>
      <w:keepLines/>
      <w:spacing w:before="260" w:after="260" w:line="416" w:lineRule="auto"/>
      <w:outlineLvl w:val="2"/>
    </w:pPr>
    <w:rPr>
      <w:b/>
      <w:kern w:val="0"/>
      <w:sz w:val="32"/>
      <w:szCs w:val="20"/>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pPr>
      <w:ind w:left="153"/>
      <w:jc w:val="left"/>
    </w:pPr>
    <w:rPr>
      <w:rFonts w:ascii="宋体" w:hAnsi="宋体"/>
      <w:kern w:val="0"/>
      <w:sz w:val="23"/>
      <w:szCs w:val="20"/>
      <w:lang w:eastAsia="en-US"/>
    </w:rPr>
  </w:style>
  <w:style w:type="paragraph" w:styleId="3">
    <w:name w:val="Body Text 2"/>
    <w:basedOn w:val="1"/>
    <w:qFormat/>
    <w:uiPriority w:val="0"/>
    <w:pPr>
      <w:spacing w:after="120" w:line="480" w:lineRule="auto"/>
    </w:pPr>
    <w:rPr>
      <w:sz w:val="2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2025-11-24T09:33:00Z</dcterms:created>
  <dc:creator>张丙玺</dc:creator>
  <cp:lastModifiedBy>张丙玺</cp:lastModifiedBy>
  <dcterms:modified xsi:type="dcterms:W3CDTF">2025-11-24T09:36:00Z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646A72DC4EA144B2BC519903CB1908DB_11</vt:lpwstr>
  </property>
  <property fmtid="{D5CDD505-2E9C-101B-9397-08002B2CF9AE}" pid="4" name="KSOTemplateDocerSaveRecord">
    <vt:lpwstr>eyJoZGlkIjoiMDQwZTEyN2U4NzliMzcyMTAwMGIxMDY4YzhkNTY4MWIiLCJ1c2VySWQiOiIxNjkyNDc3NjI5In0=</vt:lpwstr>
  </property>
</Properties>
</file>