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B479D">
      <w:pPr>
        <w:pStyle w:val="2"/>
        <w:numPr>
          <w:numId w:val="0"/>
        </w:numPr>
        <w:snapToGrid w:val="0"/>
        <w:spacing w:before="156" w:beforeLines="50" w:after="156" w:afterLines="50" w:line="240" w:lineRule="auto"/>
        <w:ind w:left="138" w:leftChars="0"/>
        <w:outlineLvl w:val="2"/>
        <w:rPr>
          <w:sz w:val="28"/>
          <w:szCs w:val="28"/>
          <w:highlight w:val="none"/>
        </w:rPr>
      </w:pPr>
      <w:bookmarkStart w:id="0" w:name="_GoBack"/>
      <w:r>
        <w:rPr>
          <w:rFonts w:ascii="宋体" w:hAnsi="宋体" w:eastAsia="宋体" w:cs="宋体"/>
          <w:b/>
          <w:bCs/>
          <w:spacing w:val="-6"/>
          <w:sz w:val="28"/>
          <w:szCs w:val="28"/>
          <w:highlight w:val="none"/>
        </w:rPr>
        <w:t>附件</w:t>
      </w:r>
      <w:r>
        <w:rPr>
          <w:rFonts w:hint="eastAsia" w:ascii="Times New Roman" w:hAnsi="Times New Roman" w:eastAsia="宋体" w:cs="Times New Roman"/>
          <w:b/>
          <w:bCs/>
          <w:spacing w:val="-6"/>
          <w:sz w:val="28"/>
          <w:szCs w:val="28"/>
          <w:highlight w:val="none"/>
          <w:lang w:val="en-US" w:eastAsia="zh-CN"/>
        </w:rPr>
        <w:t>2</w:t>
      </w:r>
      <w:r>
        <w:rPr>
          <w:rFonts w:ascii="宋体" w:hAnsi="宋体" w:eastAsia="宋体" w:cs="宋体"/>
          <w:b/>
          <w:bCs/>
          <w:spacing w:val="-6"/>
          <w:sz w:val="28"/>
          <w:szCs w:val="28"/>
          <w:highlight w:val="none"/>
        </w:rPr>
        <w:t>：</w:t>
      </w:r>
      <w:r>
        <w:rPr>
          <w:b/>
          <w:bCs/>
          <w:spacing w:val="-6"/>
          <w:sz w:val="28"/>
          <w:szCs w:val="28"/>
          <w:highlight w:val="none"/>
        </w:rPr>
        <w:t>评标办法</w:t>
      </w:r>
    </w:p>
    <w:bookmarkEnd w:id="0"/>
    <w:p w14:paraId="0A5F6EA7">
      <w:pPr>
        <w:spacing w:before="203" w:line="218" w:lineRule="auto"/>
        <w:ind w:left="3562"/>
        <w:rPr>
          <w:rFonts w:ascii="宋体" w:hAnsi="宋体" w:eastAsia="宋体" w:cs="宋体"/>
          <w:sz w:val="24"/>
          <w:szCs w:val="24"/>
          <w:highlight w:val="none"/>
        </w:rPr>
      </w:pPr>
      <w:r>
        <w:rPr>
          <w:rFonts w:ascii="宋体" w:hAnsi="宋体" w:eastAsia="宋体" w:cs="宋体"/>
          <w:b/>
          <w:bCs/>
          <w:spacing w:val="-3"/>
          <w:sz w:val="24"/>
          <w:szCs w:val="24"/>
          <w:highlight w:val="none"/>
        </w:rPr>
        <w:t>评标办法（</w:t>
      </w:r>
      <w:r>
        <w:rPr>
          <w:rFonts w:hint="eastAsia" w:ascii="宋体" w:hAnsi="宋体" w:cs="宋体"/>
          <w:b/>
          <w:bCs/>
          <w:spacing w:val="-3"/>
          <w:sz w:val="24"/>
          <w:szCs w:val="24"/>
          <w:highlight w:val="none"/>
          <w:lang w:eastAsia="zh-CN"/>
        </w:rPr>
        <w:t>综合评估法</w:t>
      </w:r>
      <w:r>
        <w:rPr>
          <w:rFonts w:ascii="宋体" w:hAnsi="宋体" w:eastAsia="宋体" w:cs="宋体"/>
          <w:b/>
          <w:bCs/>
          <w:spacing w:val="-3"/>
          <w:sz w:val="24"/>
          <w:szCs w:val="24"/>
          <w:highlight w:val="none"/>
        </w:rPr>
        <w:t>）</w:t>
      </w:r>
    </w:p>
    <w:p w14:paraId="0B55D99A">
      <w:pPr>
        <w:spacing w:before="181" w:line="219" w:lineRule="auto"/>
        <w:ind w:left="113"/>
        <w:rPr>
          <w:rFonts w:ascii="宋体" w:hAnsi="宋体" w:eastAsia="宋体" w:cs="宋体"/>
          <w:sz w:val="24"/>
          <w:szCs w:val="24"/>
          <w:highlight w:val="none"/>
        </w:rPr>
      </w:pPr>
      <w:r>
        <w:rPr>
          <w:rFonts w:ascii="宋体" w:hAnsi="宋体" w:eastAsia="宋体" w:cs="宋体"/>
          <w:b/>
          <w:bCs/>
          <w:spacing w:val="-4"/>
          <w:sz w:val="24"/>
          <w:szCs w:val="24"/>
          <w:highlight w:val="none"/>
        </w:rPr>
        <w:t>评标办法前附表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444"/>
        <w:gridCol w:w="6956"/>
        <w:gridCol w:w="17"/>
      </w:tblGrid>
      <w:tr w14:paraId="6F8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09" w:type="pct"/>
            <w:gridSpan w:val="2"/>
            <w:vAlign w:val="center"/>
          </w:tcPr>
          <w:p w14:paraId="37A0E4E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790" w:type="pct"/>
            <w:gridSpan w:val="2"/>
            <w:vAlign w:val="center"/>
          </w:tcPr>
          <w:p w14:paraId="51B44A5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4CF8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3F9ECA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5" w:type="pct"/>
            <w:vAlign w:val="center"/>
          </w:tcPr>
          <w:p w14:paraId="22DBC7C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782" w:type="pct"/>
            <w:vAlign w:val="center"/>
          </w:tcPr>
          <w:p w14:paraId="4A19452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132339D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2B85981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10096E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14:paraId="369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0F27B8E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699F319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785" w:type="pct"/>
            <w:vAlign w:val="center"/>
          </w:tcPr>
          <w:p w14:paraId="4E30A84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782" w:type="pct"/>
            <w:vAlign w:val="top"/>
          </w:tcPr>
          <w:p w14:paraId="5C904FE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03ECD0A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6E00AB4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cs="宋体"/>
                <w:bCs/>
                <w:color w:val="auto"/>
                <w:sz w:val="21"/>
                <w:szCs w:val="21"/>
                <w:highlight w:val="none"/>
                <w:lang w:val="en-US" w:eastAsia="zh-CN"/>
              </w:rPr>
              <w:t>、安全目标</w:t>
            </w:r>
            <w:r>
              <w:rPr>
                <w:rFonts w:hint="eastAsia" w:ascii="宋体" w:hAnsi="宋体" w:eastAsia="宋体" w:cs="宋体"/>
                <w:bCs/>
                <w:color w:val="auto"/>
                <w:sz w:val="21"/>
                <w:szCs w:val="21"/>
                <w:highlight w:val="none"/>
              </w:rPr>
              <w:t>；</w:t>
            </w:r>
          </w:p>
          <w:p w14:paraId="5EF8046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091A745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w:t>
            </w:r>
            <w:r>
              <w:rPr>
                <w:rFonts w:hint="eastAsia" w:ascii="宋体" w:hAnsi="宋体" w:cs="宋体"/>
                <w:bCs/>
                <w:color w:val="auto"/>
                <w:sz w:val="21"/>
                <w:szCs w:val="21"/>
                <w:highlight w:val="none"/>
                <w:lang w:eastAsia="zh-CN"/>
              </w:rPr>
              <w:t>法定代表人</w:t>
            </w:r>
            <w:r>
              <w:rPr>
                <w:rFonts w:hint="eastAsia" w:ascii="宋体" w:hAnsi="宋体" w:eastAsia="宋体" w:cs="宋体"/>
                <w:bCs/>
                <w:color w:val="auto"/>
                <w:sz w:val="21"/>
                <w:szCs w:val="21"/>
                <w:highlight w:val="none"/>
              </w:rPr>
              <w:t>或其授权代理人的签字、投标人的单位章盖章齐全，符合招标文件规定。</w:t>
            </w:r>
          </w:p>
          <w:p w14:paraId="376AD55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3C5624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（4）投标人</w:t>
            </w:r>
            <w:r>
              <w:rPr>
                <w:rFonts w:hint="eastAsia" w:ascii="宋体" w:hAnsi="宋体" w:cs="宋体"/>
                <w:bCs/>
                <w:color w:val="auto"/>
                <w:sz w:val="21"/>
                <w:szCs w:val="21"/>
                <w:highlight w:val="none"/>
                <w:lang w:eastAsia="zh-CN"/>
              </w:rPr>
              <w:t>法定代表人</w:t>
            </w:r>
            <w:r>
              <w:rPr>
                <w:rFonts w:hint="eastAsia" w:ascii="宋体" w:hAnsi="宋体" w:eastAsia="宋体" w:cs="宋体"/>
                <w:bCs/>
                <w:color w:val="auto"/>
                <w:sz w:val="21"/>
                <w:szCs w:val="21"/>
                <w:highlight w:val="none"/>
              </w:rPr>
              <w:t>授权委托代理人签署投标文件的，须提交授权委托书，</w:t>
            </w:r>
            <w:r>
              <w:rPr>
                <w:rFonts w:hint="eastAsia" w:ascii="宋体" w:hAnsi="宋体" w:eastAsia="宋体" w:cs="宋体"/>
                <w:bCs/>
                <w:color w:val="auto"/>
                <w:sz w:val="21"/>
                <w:szCs w:val="21"/>
                <w:highlight w:val="none"/>
                <w:lang w:val="en-US" w:eastAsia="zh-CN"/>
              </w:rPr>
              <w:t>授权委托书的签字盖章符合招标文件规定</w:t>
            </w:r>
            <w:r>
              <w:rPr>
                <w:rFonts w:hint="eastAsia" w:ascii="宋体" w:hAnsi="宋体" w:eastAsia="宋体" w:cs="宋体"/>
                <w:bCs/>
                <w:color w:val="auto"/>
                <w:sz w:val="21"/>
                <w:szCs w:val="21"/>
                <w:highlight w:val="none"/>
                <w:lang w:eastAsia="zh-CN"/>
              </w:rPr>
              <w:t>。</w:t>
            </w:r>
          </w:p>
          <w:p w14:paraId="59FF6E1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w:t>
            </w:r>
            <w:r>
              <w:rPr>
                <w:rFonts w:hint="eastAsia" w:ascii="宋体" w:hAnsi="宋体" w:cs="宋体"/>
                <w:bCs/>
                <w:color w:val="auto"/>
                <w:sz w:val="21"/>
                <w:szCs w:val="21"/>
                <w:highlight w:val="none"/>
                <w:lang w:eastAsia="zh-CN"/>
              </w:rPr>
              <w:t>法定代表人</w:t>
            </w:r>
            <w:r>
              <w:rPr>
                <w:rFonts w:hint="eastAsia" w:ascii="宋体" w:hAnsi="宋体" w:eastAsia="宋体" w:cs="宋体"/>
                <w:bCs/>
                <w:color w:val="auto"/>
                <w:sz w:val="21"/>
                <w:szCs w:val="21"/>
                <w:highlight w:val="none"/>
              </w:rPr>
              <w:t>亲自签署投标文件的，提供了</w:t>
            </w:r>
            <w:r>
              <w:rPr>
                <w:rFonts w:hint="eastAsia" w:ascii="宋体" w:hAnsi="宋体" w:cs="宋体"/>
                <w:bCs/>
                <w:color w:val="auto"/>
                <w:sz w:val="21"/>
                <w:szCs w:val="21"/>
                <w:highlight w:val="none"/>
                <w:lang w:eastAsia="zh-CN"/>
              </w:rPr>
              <w:t>法定代表人</w:t>
            </w:r>
            <w:r>
              <w:rPr>
                <w:rFonts w:hint="eastAsia" w:ascii="宋体" w:hAnsi="宋体" w:eastAsia="宋体" w:cs="宋体"/>
                <w:bCs/>
                <w:color w:val="auto"/>
                <w:sz w:val="21"/>
                <w:szCs w:val="21"/>
                <w:highlight w:val="none"/>
              </w:rPr>
              <w:t>身份证明，并符合招标文件的规定。</w:t>
            </w:r>
          </w:p>
          <w:p w14:paraId="5FA931F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）投标人未以联合体形式投标。</w:t>
            </w:r>
          </w:p>
          <w:p w14:paraId="1791986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3355582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）同一投标人未提交两个以上不同的投标文件。</w:t>
            </w:r>
          </w:p>
          <w:p w14:paraId="02D74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）投标文件第一信封中未出现有关投标报价的内容。</w:t>
            </w:r>
          </w:p>
          <w:p w14:paraId="5337F98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w:t>
            </w: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招标文件规定。</w:t>
            </w:r>
          </w:p>
          <w:p w14:paraId="33DC2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）投标文件对招标文件的实质性要求和条件作出响应。</w:t>
            </w:r>
          </w:p>
          <w:p w14:paraId="175CE7B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4A45C0E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164CD61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5F87344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4A653C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5D11E0A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199A8BB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7A9C0CE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3B29E9E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0492CE9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补遗书编号（如有）、投标价（包括大写金额和小写金额）；</w:t>
            </w:r>
          </w:p>
          <w:p w14:paraId="46D4E7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b.</w:t>
            </w:r>
            <w:r>
              <w:rPr>
                <w:rFonts w:hint="eastAsia" w:ascii="宋体" w:hAnsi="宋体" w:cs="宋体"/>
                <w:bCs/>
                <w:color w:val="auto"/>
                <w:sz w:val="21"/>
                <w:szCs w:val="21"/>
                <w:highlight w:val="none"/>
                <w:lang w:val="en-US" w:eastAsia="zh-CN"/>
              </w:rPr>
              <w:t>报价清单</w:t>
            </w:r>
            <w:r>
              <w:rPr>
                <w:rFonts w:hint="eastAsia" w:ascii="宋体" w:hAnsi="宋体" w:eastAsia="宋体" w:cs="宋体"/>
                <w:bCs/>
                <w:color w:val="auto"/>
                <w:sz w:val="21"/>
                <w:szCs w:val="21"/>
                <w:highlight w:val="none"/>
                <w:lang w:val="en-US" w:eastAsia="zh-CN"/>
              </w:rPr>
              <w:t>说明文字与招标文件规定一致，未进行实质性修改和删减；</w:t>
            </w:r>
          </w:p>
          <w:p w14:paraId="0304BE1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01E8289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w:t>
            </w:r>
            <w:r>
              <w:rPr>
                <w:rFonts w:hint="eastAsia" w:ascii="宋体" w:hAnsi="宋体" w:cs="宋体"/>
                <w:bCs/>
                <w:color w:val="auto"/>
                <w:sz w:val="21"/>
                <w:szCs w:val="21"/>
                <w:highlight w:val="none"/>
                <w:lang w:eastAsia="zh-CN"/>
              </w:rPr>
              <w:t>法定代表人</w:t>
            </w:r>
            <w:r>
              <w:rPr>
                <w:rFonts w:hint="eastAsia" w:ascii="宋体" w:hAnsi="宋体" w:eastAsia="宋体" w:cs="宋体"/>
                <w:bCs/>
                <w:color w:val="auto"/>
                <w:sz w:val="21"/>
                <w:szCs w:val="21"/>
                <w:highlight w:val="none"/>
              </w:rPr>
              <w:t>或其授权代理人的签字、投标人的单位章盖章齐全，符合招标文件规定。</w:t>
            </w:r>
          </w:p>
          <w:p w14:paraId="0DC0EB0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auto"/>
                <w:sz w:val="21"/>
                <w:szCs w:val="21"/>
                <w:highlight w:val="none"/>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投标报价未超过招标文件设定的最高投标限价</w:t>
            </w:r>
          </w:p>
          <w:p w14:paraId="36D750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29DCD8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79792F3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（6）</w:t>
            </w:r>
            <w:r>
              <w:rPr>
                <w:rFonts w:hint="eastAsia" w:ascii="宋体" w:hAnsi="宋体" w:cs="宋体"/>
                <w:bCs/>
                <w:color w:val="auto"/>
                <w:sz w:val="21"/>
                <w:szCs w:val="21"/>
                <w:highlight w:val="none"/>
                <w:lang w:val="en-US" w:eastAsia="zh-CN"/>
              </w:rPr>
              <w:t>报价清单</w:t>
            </w:r>
            <w:r>
              <w:rPr>
                <w:rFonts w:hint="eastAsia" w:ascii="宋体" w:hAnsi="宋体" w:eastAsia="宋体" w:cs="宋体"/>
                <w:bCs/>
                <w:color w:val="auto"/>
                <w:sz w:val="21"/>
                <w:szCs w:val="21"/>
                <w:highlight w:val="none"/>
                <w:lang w:val="en-US" w:eastAsia="zh-CN"/>
              </w:rPr>
              <w:t>表</w:t>
            </w:r>
            <w:r>
              <w:rPr>
                <w:rFonts w:hint="eastAsia" w:ascii="宋体" w:hAnsi="宋体" w:eastAsia="宋体" w:cs="宋体"/>
                <w:bCs/>
                <w:color w:val="auto"/>
                <w:sz w:val="21"/>
                <w:szCs w:val="21"/>
                <w:highlight w:val="none"/>
                <w:lang w:val="en-US" w:eastAsia="en-US"/>
              </w:rPr>
              <w:t>中投标报价与投标函</w:t>
            </w:r>
            <w:r>
              <w:rPr>
                <w:rFonts w:hint="eastAsia" w:ascii="宋体" w:hAnsi="宋体" w:eastAsia="宋体" w:cs="宋体"/>
                <w:bCs/>
                <w:color w:val="auto"/>
                <w:sz w:val="21"/>
                <w:szCs w:val="21"/>
                <w:highlight w:val="none"/>
                <w:lang w:val="en-US" w:eastAsia="zh-CN"/>
              </w:rPr>
              <w:t>中投标报价</w:t>
            </w:r>
            <w:r>
              <w:rPr>
                <w:rFonts w:hint="eastAsia" w:ascii="宋体" w:hAnsi="宋体" w:eastAsia="宋体" w:cs="宋体"/>
                <w:bCs/>
                <w:color w:val="auto"/>
                <w:sz w:val="21"/>
                <w:szCs w:val="21"/>
                <w:highlight w:val="none"/>
                <w:lang w:val="en-US" w:eastAsia="en-US"/>
              </w:rPr>
              <w:t>大写金额一致。</w:t>
            </w:r>
          </w:p>
          <w:p w14:paraId="487C953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）投标人未提交调价函。</w:t>
            </w:r>
          </w:p>
        </w:tc>
      </w:tr>
      <w:tr w14:paraId="6315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2706" w:hRule="atLeast"/>
        </w:trPr>
        <w:tc>
          <w:tcPr>
            <w:tcW w:w="424" w:type="pct"/>
            <w:vAlign w:val="center"/>
          </w:tcPr>
          <w:p w14:paraId="57FEC14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785" w:type="pct"/>
            <w:vAlign w:val="center"/>
          </w:tcPr>
          <w:p w14:paraId="06816A5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782" w:type="pct"/>
            <w:vAlign w:val="top"/>
          </w:tcPr>
          <w:p w14:paraId="7B1B05E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09BF99B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（2）投标人的资质符合招标文件规定；</w:t>
            </w:r>
          </w:p>
          <w:p w14:paraId="255DE5A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（3）投标人的业绩符合招标文件规定；</w:t>
            </w:r>
          </w:p>
          <w:p w14:paraId="09C2352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14:paraId="79CB5ED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）投标人不存在第二章“投标人须知”1.4.3项或第1.4.4项规定的任何一种情形。</w:t>
            </w:r>
          </w:p>
        </w:tc>
      </w:tr>
      <w:tr w14:paraId="59F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36B26E8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785" w:type="pct"/>
            <w:vAlign w:val="center"/>
          </w:tcPr>
          <w:p w14:paraId="53BE551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782" w:type="pct"/>
            <w:vAlign w:val="center"/>
          </w:tcPr>
          <w:p w14:paraId="0C8999F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70DE0CB5">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服务方案：50分</w:t>
            </w:r>
          </w:p>
          <w:p w14:paraId="50B289A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其他因素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14:paraId="5D68390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p>
          <w:p w14:paraId="244EB69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14:paraId="66B24B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14:paraId="7CF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027" w:hRule="atLeast"/>
        </w:trPr>
        <w:tc>
          <w:tcPr>
            <w:tcW w:w="424" w:type="pct"/>
            <w:vAlign w:val="center"/>
          </w:tcPr>
          <w:p w14:paraId="2AE61B4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785" w:type="pct"/>
            <w:vAlign w:val="center"/>
          </w:tcPr>
          <w:p w14:paraId="6A88FA0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782" w:type="pct"/>
            <w:vAlign w:val="center"/>
          </w:tcPr>
          <w:p w14:paraId="0C9A5C7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评标基准价的计算</w:t>
            </w:r>
            <w:r>
              <w:rPr>
                <w:rFonts w:hint="eastAsia" w:ascii="宋体" w:hAnsi="宋体" w:eastAsia="宋体" w:cs="宋体"/>
                <w:sz w:val="21"/>
                <w:szCs w:val="21"/>
                <w:highlight w:val="none"/>
              </w:rPr>
              <w:t>：</w:t>
            </w:r>
          </w:p>
          <w:p w14:paraId="5B9D126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在第二个信封开标现场，招标人当场计算并宣布评标基准价。</w:t>
            </w:r>
          </w:p>
          <w:p w14:paraId="1DAFE05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53891BA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1E5F4E7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1215C8C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6016B4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7F4B14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评标价平均值直接作为评标基准价（评标基准价保留小数点后两位，小数点后第三位四舍五入）。</w:t>
            </w:r>
          </w:p>
          <w:p w14:paraId="6266115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0FF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0CFB3D3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785" w:type="pct"/>
            <w:vAlign w:val="center"/>
          </w:tcPr>
          <w:p w14:paraId="58B019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782" w:type="pct"/>
            <w:vAlign w:val="center"/>
          </w:tcPr>
          <w:p w14:paraId="4BD01B1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506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4225" w:hRule="atLeast"/>
        </w:trPr>
        <w:tc>
          <w:tcPr>
            <w:tcW w:w="424" w:type="pct"/>
            <w:vAlign w:val="center"/>
          </w:tcPr>
          <w:p w14:paraId="26D0519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785" w:type="pct"/>
            <w:vAlign w:val="center"/>
          </w:tcPr>
          <w:p w14:paraId="0D5AD49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14:paraId="34E2D4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782" w:type="pct"/>
            <w:vAlign w:val="center"/>
          </w:tcPr>
          <w:p w14:paraId="44274491">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6DCE43EA">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在评标过程中，评标委员会应对以下信息进行查询：</w:t>
            </w:r>
          </w:p>
          <w:p w14:paraId="1BB2615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eastAsia="宋体" w:cs="宋体"/>
                <w:color w:val="auto"/>
                <w:sz w:val="21"/>
                <w:szCs w:val="21"/>
                <w:highlight w:val="none"/>
              </w:rPr>
              <w:t>的复核结果一致。</w:t>
            </w:r>
            <w:r>
              <w:rPr>
                <w:rFonts w:hint="eastAsia" w:ascii="宋体" w:hAnsi="宋体"/>
                <w:strike w:val="0"/>
                <w:dstrike w:val="0"/>
                <w:sz w:val="21"/>
                <w:szCs w:val="21"/>
                <w:highlight w:val="none"/>
              </w:rPr>
              <w:t>如投标人未提供相关网页截图或所附截图与复核结果不一致</w:t>
            </w:r>
            <w:r>
              <w:rPr>
                <w:rFonts w:hint="eastAsia" w:ascii="宋体" w:hAnsi="宋体"/>
                <w:strike w:val="0"/>
                <w:dstrike w:val="0"/>
                <w:sz w:val="21"/>
                <w:szCs w:val="21"/>
                <w:highlight w:val="none"/>
                <w:lang w:eastAsia="zh-CN"/>
              </w:rPr>
              <w:t>导致不能满足资格评审要求的，</w:t>
            </w:r>
            <w:r>
              <w:rPr>
                <w:rFonts w:hint="eastAsia" w:ascii="宋体" w:hAnsi="宋体"/>
                <w:strike w:val="0"/>
                <w:dstrike w:val="0"/>
                <w:sz w:val="21"/>
                <w:szCs w:val="21"/>
                <w:highlight w:val="none"/>
              </w:rPr>
              <w:t>评标委员会应否决其投标。</w:t>
            </w:r>
          </w:p>
          <w:p w14:paraId="64950DB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02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2FF68BD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0E41B396">
      <w:pPr>
        <w:spacing w:before="46"/>
        <w:rPr>
          <w:highlight w:val="none"/>
        </w:rPr>
      </w:pPr>
    </w:p>
    <w:p w14:paraId="73A29FD0">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6"/>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307"/>
        <w:gridCol w:w="690"/>
        <w:gridCol w:w="5549"/>
      </w:tblGrid>
      <w:tr w14:paraId="7285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4103" w:type="dxa"/>
            <w:gridSpan w:val="5"/>
            <w:noWrap w:val="0"/>
            <w:vAlign w:val="center"/>
          </w:tcPr>
          <w:p w14:paraId="4633198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评分因素与权重分值</w:t>
            </w:r>
          </w:p>
        </w:tc>
        <w:tc>
          <w:tcPr>
            <w:tcW w:w="5549" w:type="dxa"/>
            <w:vMerge w:val="restart"/>
            <w:noWrap w:val="0"/>
            <w:vAlign w:val="center"/>
          </w:tcPr>
          <w:p w14:paraId="57CD1C3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14:paraId="721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C166C1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46DF143">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AA4F8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34" w:leftChars="-19" w:right="-27" w:rightChars="-15" w:firstLine="1"/>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 权重分值</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6822E3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Style w:val="8"/>
                <w:rFonts w:hint="eastAsia" w:ascii="宋体" w:hAnsi="宋体" w:eastAsia="宋体" w:cs="宋体"/>
                <w:color w:val="auto"/>
                <w:sz w:val="21"/>
                <w:szCs w:val="21"/>
                <w:highlight w:val="none"/>
              </w:rPr>
              <w:t>各评分因素细分项</w:t>
            </w:r>
          </w:p>
        </w:tc>
        <w:tc>
          <w:tcPr>
            <w:tcW w:w="690" w:type="dxa"/>
            <w:tcBorders>
              <w:left w:val="single" w:color="auto" w:sz="4" w:space="0"/>
            </w:tcBorders>
            <w:noWrap w:val="0"/>
            <w:vAlign w:val="center"/>
          </w:tcPr>
          <w:p w14:paraId="09BA1187">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5549" w:type="dxa"/>
            <w:vMerge w:val="continue"/>
            <w:noWrap w:val="0"/>
            <w:vAlign w:val="center"/>
          </w:tcPr>
          <w:p w14:paraId="1603F4E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r>
      <w:tr w14:paraId="1AE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41" w:type="dxa"/>
            <w:vMerge w:val="restart"/>
            <w:tcBorders>
              <w:top w:val="single" w:color="auto" w:sz="4" w:space="0"/>
            </w:tcBorders>
            <w:noWrap w:val="0"/>
            <w:vAlign w:val="center"/>
          </w:tcPr>
          <w:p w14:paraId="513D31D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741" w:type="dxa"/>
            <w:vMerge w:val="restart"/>
            <w:tcBorders>
              <w:top w:val="single" w:color="auto" w:sz="4" w:space="0"/>
            </w:tcBorders>
            <w:noWrap w:val="0"/>
            <w:vAlign w:val="center"/>
          </w:tcPr>
          <w:p w14:paraId="2C73F88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服务</w:t>
            </w:r>
            <w:r>
              <w:rPr>
                <w:rFonts w:hint="eastAsia" w:ascii="宋体" w:hAnsi="宋体" w:eastAsia="宋体" w:cs="宋体"/>
                <w:sz w:val="21"/>
                <w:szCs w:val="21"/>
                <w:highlight w:val="none"/>
              </w:rPr>
              <w:t>方案</w:t>
            </w:r>
          </w:p>
        </w:tc>
        <w:tc>
          <w:tcPr>
            <w:tcW w:w="624" w:type="dxa"/>
            <w:vMerge w:val="restart"/>
            <w:tcBorders>
              <w:top w:val="single" w:color="auto" w:sz="4" w:space="0"/>
            </w:tcBorders>
            <w:noWrap w:val="0"/>
            <w:vAlign w:val="center"/>
          </w:tcPr>
          <w:p w14:paraId="2BFEECD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5</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w:t>
            </w:r>
          </w:p>
        </w:tc>
        <w:tc>
          <w:tcPr>
            <w:tcW w:w="1307" w:type="dxa"/>
            <w:tcBorders>
              <w:top w:val="single" w:color="auto" w:sz="4" w:space="0"/>
            </w:tcBorders>
            <w:noWrap w:val="0"/>
            <w:vAlign w:val="center"/>
          </w:tcPr>
          <w:p w14:paraId="534CF771">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整体工作方案</w:t>
            </w:r>
          </w:p>
        </w:tc>
        <w:tc>
          <w:tcPr>
            <w:tcW w:w="690" w:type="dxa"/>
            <w:noWrap w:val="0"/>
            <w:vAlign w:val="center"/>
          </w:tcPr>
          <w:p w14:paraId="49DB58DB">
            <w:pPr>
              <w:pStyle w:val="5"/>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5549" w:type="dxa"/>
            <w:noWrap w:val="0"/>
            <w:vAlign w:val="top"/>
          </w:tcPr>
          <w:p w14:paraId="31683360">
            <w:pPr>
              <w:pStyle w:val="9"/>
              <w:spacing w:before="58" w:line="239" w:lineRule="auto"/>
              <w:ind w:left="59"/>
              <w:jc w:val="both"/>
              <w:rPr>
                <w:spacing w:val="-9"/>
                <w:sz w:val="21"/>
                <w:szCs w:val="21"/>
                <w:highlight w:val="none"/>
              </w:rPr>
            </w:pPr>
            <w:r>
              <w:rPr>
                <w:spacing w:val="-9"/>
                <w:sz w:val="21"/>
                <w:szCs w:val="21"/>
                <w:highlight w:val="none"/>
              </w:rPr>
              <w:t>第一档，整体工作方案科学合理，内容详细，得12-15分；</w:t>
            </w:r>
          </w:p>
          <w:p w14:paraId="2D7224E4">
            <w:pPr>
              <w:pStyle w:val="9"/>
              <w:spacing w:before="58" w:line="239" w:lineRule="auto"/>
              <w:ind w:left="59"/>
              <w:jc w:val="both"/>
              <w:rPr>
                <w:sz w:val="21"/>
                <w:szCs w:val="21"/>
                <w:highlight w:val="none"/>
              </w:rPr>
            </w:pPr>
            <w:r>
              <w:rPr>
                <w:spacing w:val="-5"/>
                <w:sz w:val="21"/>
                <w:szCs w:val="21"/>
                <w:highlight w:val="none"/>
              </w:rPr>
              <w:t>第二档，整体工作方案较科学合理，内容较详细，得9-12</w:t>
            </w:r>
            <w:r>
              <w:rPr>
                <w:spacing w:val="-15"/>
                <w:sz w:val="21"/>
                <w:szCs w:val="21"/>
                <w:highlight w:val="none"/>
              </w:rPr>
              <w:t>分；</w:t>
            </w:r>
          </w:p>
          <w:p w14:paraId="183CF7BE">
            <w:pPr>
              <w:pStyle w:val="9"/>
              <w:spacing w:line="218" w:lineRule="auto"/>
              <w:ind w:left="59" w:leftChars="0"/>
              <w:rPr>
                <w:rFonts w:hint="eastAsia" w:ascii="宋体" w:hAnsi="宋体" w:eastAsia="宋体" w:cs="宋体"/>
                <w:sz w:val="21"/>
                <w:szCs w:val="21"/>
                <w:highlight w:val="none"/>
              </w:rPr>
            </w:pPr>
            <w:r>
              <w:rPr>
                <w:spacing w:val="-1"/>
                <w:sz w:val="21"/>
                <w:szCs w:val="21"/>
                <w:highlight w:val="none"/>
              </w:rPr>
              <w:t>第三档，整体工作方案基本合理，内容简单</w:t>
            </w:r>
            <w:r>
              <w:rPr>
                <w:spacing w:val="-2"/>
                <w:sz w:val="21"/>
                <w:szCs w:val="21"/>
                <w:highlight w:val="none"/>
              </w:rPr>
              <w:t>，得9分。</w:t>
            </w:r>
          </w:p>
        </w:tc>
      </w:tr>
      <w:tr w14:paraId="773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2BE8CE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center"/>
          </w:tcPr>
          <w:p w14:paraId="49FA65F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775496A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307" w:type="dxa"/>
            <w:noWrap w:val="0"/>
            <w:vAlign w:val="center"/>
          </w:tcPr>
          <w:p w14:paraId="60FA7302">
            <w:pPr>
              <w:pStyle w:val="5"/>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服务质量保证措施、服务进度保证措施及服务安全保证措施</w:t>
            </w:r>
          </w:p>
        </w:tc>
        <w:tc>
          <w:tcPr>
            <w:tcW w:w="690" w:type="dxa"/>
            <w:noWrap w:val="0"/>
            <w:vAlign w:val="center"/>
          </w:tcPr>
          <w:p w14:paraId="2638E517">
            <w:pPr>
              <w:pStyle w:val="5"/>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jc w:val="both"/>
              <w:textAlignment w:val="auto"/>
              <w:rPr>
                <w:rFonts w:hint="eastAsia" w:ascii="宋体" w:hAnsi="宋体" w:eastAsia="宋体" w:cs="宋体"/>
                <w:sz w:val="21"/>
                <w:szCs w:val="21"/>
                <w:highlight w:val="none"/>
              </w:rPr>
            </w:pPr>
            <w:r>
              <w:rPr>
                <w:rFonts w:hint="eastAsia" w:cs="宋体"/>
                <w:sz w:val="21"/>
                <w:szCs w:val="21"/>
                <w:highlight w:val="none"/>
                <w:lang w:val="en-US" w:eastAsia="zh-CN"/>
              </w:rPr>
              <w:t>15</w:t>
            </w:r>
            <w:r>
              <w:rPr>
                <w:rFonts w:hint="eastAsia" w:ascii="宋体" w:hAnsi="宋体" w:eastAsia="宋体" w:cs="宋体"/>
                <w:sz w:val="21"/>
                <w:szCs w:val="21"/>
                <w:highlight w:val="none"/>
              </w:rPr>
              <w:t>分</w:t>
            </w:r>
          </w:p>
        </w:tc>
        <w:tc>
          <w:tcPr>
            <w:tcW w:w="5549" w:type="dxa"/>
            <w:noWrap w:val="0"/>
            <w:vAlign w:val="top"/>
          </w:tcPr>
          <w:p w14:paraId="66667CAB">
            <w:pPr>
              <w:pStyle w:val="9"/>
              <w:spacing w:before="95"/>
              <w:ind w:left="59" w:leftChars="0"/>
              <w:jc w:val="both"/>
              <w:rPr>
                <w:spacing w:val="-9"/>
                <w:sz w:val="21"/>
                <w:szCs w:val="21"/>
                <w:highlight w:val="none"/>
              </w:rPr>
            </w:pPr>
            <w:r>
              <w:rPr>
                <w:spacing w:val="-3"/>
                <w:sz w:val="21"/>
                <w:szCs w:val="21"/>
                <w:highlight w:val="none"/>
              </w:rPr>
              <w:t>第一档，服务质量保证措施、服务进度保证措施及服务安</w:t>
            </w:r>
            <w:r>
              <w:rPr>
                <w:spacing w:val="-9"/>
                <w:sz w:val="21"/>
                <w:szCs w:val="21"/>
                <w:highlight w:val="none"/>
              </w:rPr>
              <w:t>全保证措施科学合理、完善可行、有针对性，得</w:t>
            </w:r>
            <w:r>
              <w:rPr>
                <w:rFonts w:hint="eastAsia"/>
                <w:spacing w:val="-9"/>
                <w:sz w:val="21"/>
                <w:szCs w:val="21"/>
                <w:highlight w:val="none"/>
                <w:lang w:val="en-US" w:eastAsia="zh-CN"/>
              </w:rPr>
              <w:t>12</w:t>
            </w:r>
            <w:r>
              <w:rPr>
                <w:spacing w:val="-9"/>
                <w:sz w:val="21"/>
                <w:szCs w:val="21"/>
                <w:highlight w:val="none"/>
              </w:rPr>
              <w:t>-</w:t>
            </w:r>
            <w:r>
              <w:rPr>
                <w:rFonts w:hint="eastAsia"/>
                <w:spacing w:val="-9"/>
                <w:sz w:val="21"/>
                <w:szCs w:val="21"/>
                <w:highlight w:val="none"/>
                <w:lang w:val="en-US" w:eastAsia="zh-CN"/>
              </w:rPr>
              <w:t>15</w:t>
            </w:r>
            <w:r>
              <w:rPr>
                <w:spacing w:val="-9"/>
                <w:sz w:val="21"/>
                <w:szCs w:val="21"/>
                <w:highlight w:val="none"/>
              </w:rPr>
              <w:t>分；</w:t>
            </w:r>
          </w:p>
          <w:p w14:paraId="39904342">
            <w:pPr>
              <w:pStyle w:val="9"/>
              <w:spacing w:before="95"/>
              <w:ind w:left="59" w:leftChars="0"/>
              <w:jc w:val="both"/>
              <w:rPr>
                <w:spacing w:val="-9"/>
                <w:sz w:val="21"/>
                <w:szCs w:val="21"/>
                <w:highlight w:val="none"/>
              </w:rPr>
            </w:pPr>
            <w:r>
              <w:rPr>
                <w:spacing w:val="-3"/>
                <w:sz w:val="21"/>
                <w:szCs w:val="21"/>
                <w:highlight w:val="none"/>
              </w:rPr>
              <w:t>第二档，服务质量保证措施、服务进度保证措施及服务安</w:t>
            </w:r>
            <w:r>
              <w:rPr>
                <w:spacing w:val="-9"/>
                <w:sz w:val="21"/>
                <w:szCs w:val="21"/>
                <w:highlight w:val="none"/>
              </w:rPr>
              <w:t>全保证措施较科学、较完善可行、较有针对性，得</w:t>
            </w:r>
            <w:r>
              <w:rPr>
                <w:rFonts w:hint="eastAsia"/>
                <w:spacing w:val="-9"/>
                <w:sz w:val="21"/>
                <w:szCs w:val="21"/>
                <w:highlight w:val="none"/>
                <w:lang w:val="en-US" w:eastAsia="zh-CN"/>
              </w:rPr>
              <w:t>9</w:t>
            </w:r>
            <w:r>
              <w:rPr>
                <w:spacing w:val="-9"/>
                <w:sz w:val="21"/>
                <w:szCs w:val="21"/>
                <w:highlight w:val="none"/>
              </w:rPr>
              <w:t>-</w:t>
            </w:r>
            <w:r>
              <w:rPr>
                <w:rFonts w:hint="eastAsia"/>
                <w:spacing w:val="-9"/>
                <w:sz w:val="21"/>
                <w:szCs w:val="21"/>
                <w:highlight w:val="none"/>
                <w:lang w:val="en-US" w:eastAsia="zh-CN"/>
              </w:rPr>
              <w:t>12</w:t>
            </w:r>
            <w:r>
              <w:rPr>
                <w:spacing w:val="-9"/>
                <w:sz w:val="21"/>
                <w:szCs w:val="21"/>
                <w:highlight w:val="none"/>
              </w:rPr>
              <w:t>分；</w:t>
            </w:r>
          </w:p>
          <w:p w14:paraId="7D2A51FA">
            <w:pPr>
              <w:pStyle w:val="9"/>
              <w:spacing w:before="95"/>
              <w:ind w:left="59" w:leftChars="0"/>
              <w:jc w:val="both"/>
              <w:rPr>
                <w:rFonts w:hint="eastAsia" w:ascii="宋体" w:hAnsi="宋体" w:eastAsia="宋体" w:cs="宋体"/>
                <w:kern w:val="2"/>
                <w:sz w:val="21"/>
                <w:szCs w:val="21"/>
                <w:highlight w:val="none"/>
              </w:rPr>
            </w:pPr>
            <w:r>
              <w:rPr>
                <w:spacing w:val="-3"/>
                <w:sz w:val="21"/>
                <w:szCs w:val="21"/>
                <w:highlight w:val="none"/>
              </w:rPr>
              <w:t>第三档，服务质量保证措施、服务进度保证措施及服务安</w:t>
            </w:r>
            <w:r>
              <w:rPr>
                <w:spacing w:val="-4"/>
                <w:sz w:val="21"/>
                <w:szCs w:val="21"/>
                <w:highlight w:val="none"/>
              </w:rPr>
              <w:t>全保证措施一般，得</w:t>
            </w:r>
            <w:r>
              <w:rPr>
                <w:rFonts w:hint="eastAsia"/>
                <w:spacing w:val="-4"/>
                <w:sz w:val="21"/>
                <w:szCs w:val="21"/>
                <w:highlight w:val="none"/>
                <w:lang w:val="en-US" w:eastAsia="zh-CN"/>
              </w:rPr>
              <w:t>9</w:t>
            </w:r>
            <w:r>
              <w:rPr>
                <w:spacing w:val="-4"/>
                <w:sz w:val="21"/>
                <w:szCs w:val="21"/>
                <w:highlight w:val="none"/>
              </w:rPr>
              <w:t>分。</w:t>
            </w:r>
          </w:p>
        </w:tc>
      </w:tr>
      <w:tr w14:paraId="479F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41" w:type="dxa"/>
            <w:vMerge w:val="continue"/>
            <w:noWrap w:val="0"/>
            <w:vAlign w:val="center"/>
          </w:tcPr>
          <w:p w14:paraId="7EE5959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center"/>
          </w:tcPr>
          <w:p w14:paraId="247E96B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624" w:type="dxa"/>
            <w:vMerge w:val="continue"/>
            <w:noWrap w:val="0"/>
            <w:vAlign w:val="center"/>
          </w:tcPr>
          <w:p w14:paraId="565B6A3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1307" w:type="dxa"/>
            <w:noWrap w:val="0"/>
            <w:vAlign w:val="center"/>
          </w:tcPr>
          <w:p w14:paraId="458034D5">
            <w:pPr>
              <w:pStyle w:val="3"/>
              <w:spacing w:line="160" w:lineRule="atLeast"/>
              <w:jc w:val="center"/>
              <w:rPr>
                <w:rFonts w:hint="eastAsia" w:ascii="宋体" w:hAnsi="宋体" w:eastAsia="宋体" w:cs="宋体"/>
                <w:sz w:val="21"/>
                <w:szCs w:val="21"/>
                <w:highlight w:val="none"/>
              </w:rPr>
            </w:pPr>
            <w:r>
              <w:rPr>
                <w:rFonts w:hint="eastAsia" w:ascii="Times New Roman" w:hAnsi="Times New Roman"/>
                <w:color w:val="auto"/>
                <w:szCs w:val="21"/>
                <w:highlight w:val="none"/>
              </w:rPr>
              <w:t>服务过程中重点、难点分析和和关键节点服务（技术）措施</w:t>
            </w:r>
          </w:p>
        </w:tc>
        <w:tc>
          <w:tcPr>
            <w:tcW w:w="690" w:type="dxa"/>
            <w:noWrap w:val="0"/>
            <w:vAlign w:val="center"/>
          </w:tcPr>
          <w:p w14:paraId="5C76EB67">
            <w:pPr>
              <w:pStyle w:val="3"/>
              <w:spacing w:line="160" w:lineRule="atLeast"/>
              <w:jc w:val="center"/>
              <w:rPr>
                <w:rFonts w:hint="eastAsia" w:ascii="宋体" w:hAnsi="宋体" w:eastAsia="宋体" w:cs="宋体"/>
                <w:sz w:val="21"/>
                <w:szCs w:val="21"/>
                <w:highlight w:val="none"/>
              </w:rPr>
            </w:pPr>
            <w:r>
              <w:rPr>
                <w:rFonts w:hint="eastAsia" w:ascii="Times New Roman" w:hAnsi="Times New Roman"/>
                <w:color w:val="auto"/>
                <w:szCs w:val="21"/>
                <w:highlight w:val="none"/>
              </w:rPr>
              <w:t>10分</w:t>
            </w:r>
          </w:p>
        </w:tc>
        <w:tc>
          <w:tcPr>
            <w:tcW w:w="5549" w:type="dxa"/>
            <w:noWrap w:val="0"/>
            <w:vAlign w:val="center"/>
          </w:tcPr>
          <w:p w14:paraId="3F586C87">
            <w:pPr>
              <w:pStyle w:val="3"/>
              <w:spacing w:line="300" w:lineRule="exact"/>
              <w:jc w:val="left"/>
              <w:rPr>
                <w:rFonts w:ascii="Times New Roman" w:hAnsi="Times New Roman"/>
                <w:color w:val="auto"/>
                <w:szCs w:val="21"/>
                <w:highlight w:val="none"/>
              </w:rPr>
            </w:pPr>
            <w:r>
              <w:rPr>
                <w:rFonts w:hint="eastAsia" w:ascii="Times New Roman" w:hAnsi="Times New Roman"/>
                <w:color w:val="auto"/>
                <w:szCs w:val="21"/>
                <w:highlight w:val="none"/>
              </w:rPr>
              <w:t xml:space="preserve">投标人应对服务过程中重点、难点分析和和关键节点服务（技术）措施进行描述： </w:t>
            </w:r>
          </w:p>
          <w:p w14:paraId="62EEC35E">
            <w:pPr>
              <w:pStyle w:val="3"/>
              <w:spacing w:line="300" w:lineRule="exact"/>
              <w:jc w:val="left"/>
              <w:rPr>
                <w:rFonts w:hint="eastAsia" w:ascii="Times New Roman" w:hAnsi="Times New Roman" w:eastAsia="宋体"/>
                <w:color w:val="auto"/>
                <w:szCs w:val="21"/>
                <w:highlight w:val="none"/>
                <w:lang w:eastAsia="zh-CN"/>
              </w:rPr>
            </w:pPr>
            <w:r>
              <w:rPr>
                <w:spacing w:val="-2"/>
                <w:sz w:val="21"/>
                <w:szCs w:val="21"/>
                <w:highlight w:val="none"/>
              </w:rPr>
              <w:t>第一档，</w:t>
            </w:r>
            <w:r>
              <w:rPr>
                <w:rFonts w:hint="eastAsia" w:ascii="Times New Roman" w:hAnsi="Times New Roman"/>
                <w:color w:val="auto"/>
                <w:szCs w:val="21"/>
                <w:highlight w:val="none"/>
              </w:rPr>
              <w:t>有针对性且完整合理，得8-10.分</w:t>
            </w:r>
            <w:r>
              <w:rPr>
                <w:rFonts w:hint="eastAsia" w:ascii="Times New Roman" w:hAnsi="Times New Roman"/>
                <w:color w:val="auto"/>
                <w:szCs w:val="21"/>
                <w:highlight w:val="none"/>
                <w:lang w:eastAsia="zh-CN"/>
              </w:rPr>
              <w:t>；</w:t>
            </w:r>
          </w:p>
          <w:p w14:paraId="75592C7E">
            <w:pPr>
              <w:pStyle w:val="3"/>
              <w:spacing w:line="300" w:lineRule="exact"/>
              <w:jc w:val="left"/>
              <w:rPr>
                <w:rFonts w:hint="eastAsia" w:ascii="Times New Roman" w:hAnsi="Times New Roman" w:eastAsia="宋体"/>
                <w:color w:val="auto"/>
                <w:szCs w:val="21"/>
                <w:highlight w:val="none"/>
                <w:lang w:eastAsia="zh-CN"/>
              </w:rPr>
            </w:pPr>
            <w:r>
              <w:rPr>
                <w:spacing w:val="-2"/>
                <w:sz w:val="21"/>
                <w:szCs w:val="21"/>
                <w:highlight w:val="none"/>
              </w:rPr>
              <w:t>第</w:t>
            </w:r>
            <w:r>
              <w:rPr>
                <w:rFonts w:hint="eastAsia"/>
                <w:spacing w:val="-2"/>
                <w:sz w:val="21"/>
                <w:szCs w:val="21"/>
                <w:highlight w:val="none"/>
                <w:lang w:val="en-US" w:eastAsia="zh-CN"/>
              </w:rPr>
              <w:t>二</w:t>
            </w:r>
            <w:r>
              <w:rPr>
                <w:spacing w:val="-2"/>
                <w:sz w:val="21"/>
                <w:szCs w:val="21"/>
                <w:highlight w:val="none"/>
              </w:rPr>
              <w:t>档，</w:t>
            </w:r>
            <w:r>
              <w:rPr>
                <w:rFonts w:hint="eastAsia" w:ascii="Times New Roman" w:hAnsi="Times New Roman"/>
                <w:color w:val="auto"/>
                <w:szCs w:val="21"/>
                <w:highlight w:val="none"/>
              </w:rPr>
              <w:t>较合理，满足服务要求，得6－8分</w:t>
            </w:r>
            <w:r>
              <w:rPr>
                <w:rFonts w:hint="eastAsia" w:ascii="Times New Roman" w:hAnsi="Times New Roman"/>
                <w:color w:val="auto"/>
                <w:szCs w:val="21"/>
                <w:highlight w:val="none"/>
                <w:lang w:eastAsia="zh-CN"/>
              </w:rPr>
              <w:t>；</w:t>
            </w:r>
          </w:p>
          <w:p w14:paraId="6D686F6E">
            <w:pPr>
              <w:pStyle w:val="3"/>
              <w:spacing w:line="300" w:lineRule="exact"/>
              <w:jc w:val="left"/>
              <w:rPr>
                <w:spacing w:val="-3"/>
                <w:sz w:val="21"/>
                <w:szCs w:val="21"/>
                <w:highlight w:val="none"/>
              </w:rPr>
            </w:pPr>
            <w:r>
              <w:rPr>
                <w:spacing w:val="-2"/>
                <w:sz w:val="21"/>
                <w:szCs w:val="21"/>
                <w:highlight w:val="none"/>
              </w:rPr>
              <w:t>第</w:t>
            </w:r>
            <w:r>
              <w:rPr>
                <w:rFonts w:hint="eastAsia"/>
                <w:spacing w:val="-2"/>
                <w:sz w:val="21"/>
                <w:szCs w:val="21"/>
                <w:highlight w:val="none"/>
                <w:lang w:val="en-US" w:eastAsia="zh-CN"/>
              </w:rPr>
              <w:t>三</w:t>
            </w:r>
            <w:r>
              <w:rPr>
                <w:spacing w:val="-2"/>
                <w:sz w:val="21"/>
                <w:szCs w:val="21"/>
                <w:highlight w:val="none"/>
              </w:rPr>
              <w:t>档，</w:t>
            </w:r>
            <w:r>
              <w:rPr>
                <w:rFonts w:hint="eastAsia" w:ascii="Times New Roman" w:hAnsi="Times New Roman"/>
                <w:color w:val="auto"/>
                <w:szCs w:val="21"/>
                <w:highlight w:val="none"/>
              </w:rPr>
              <w:t>基本满足招标人需求的，得6分。</w:t>
            </w:r>
          </w:p>
        </w:tc>
      </w:tr>
      <w:tr w14:paraId="0EE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741" w:type="dxa"/>
            <w:vMerge w:val="continue"/>
            <w:noWrap w:val="0"/>
            <w:vAlign w:val="top"/>
          </w:tcPr>
          <w:p w14:paraId="1A16B118">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1E7A21B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624" w:type="dxa"/>
            <w:vMerge w:val="continue"/>
            <w:noWrap w:val="0"/>
            <w:vAlign w:val="top"/>
          </w:tcPr>
          <w:p w14:paraId="2D5ECDE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1307" w:type="dxa"/>
            <w:tcBorders>
              <w:bottom w:val="single" w:color="auto" w:sz="4" w:space="0"/>
            </w:tcBorders>
            <w:noWrap w:val="0"/>
            <w:vAlign w:val="center"/>
          </w:tcPr>
          <w:p w14:paraId="2D2DE001">
            <w:pPr>
              <w:pStyle w:val="5"/>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服务承诺、后续服务安排及保证措施</w:t>
            </w:r>
          </w:p>
        </w:tc>
        <w:tc>
          <w:tcPr>
            <w:tcW w:w="690" w:type="dxa"/>
            <w:tcBorders>
              <w:bottom w:val="single" w:color="auto" w:sz="4" w:space="0"/>
            </w:tcBorders>
            <w:noWrap w:val="0"/>
            <w:vAlign w:val="center"/>
          </w:tcPr>
          <w:p w14:paraId="03FF4EC2">
            <w:pPr>
              <w:pStyle w:val="5"/>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320" w:lineRule="exact"/>
              <w:ind w:left="0" w:leftChars="0" w:firstLine="0" w:firstLineChars="0"/>
              <w:jc w:val="both"/>
              <w:textAlignment w:val="auto"/>
              <w:rPr>
                <w:rFonts w:hint="eastAsia" w:ascii="宋体" w:hAnsi="宋体" w:eastAsia="宋体" w:cs="宋体"/>
                <w:sz w:val="21"/>
                <w:szCs w:val="21"/>
                <w:highlight w:val="none"/>
              </w:rPr>
            </w:pPr>
            <w:r>
              <w:rPr>
                <w:rFonts w:hint="eastAsia" w:cs="宋体"/>
                <w:sz w:val="21"/>
                <w:szCs w:val="21"/>
                <w:highlight w:val="none"/>
                <w:lang w:val="en-US" w:eastAsia="zh-CN"/>
              </w:rPr>
              <w:t>5</w:t>
            </w:r>
            <w:r>
              <w:rPr>
                <w:rFonts w:hint="eastAsia" w:ascii="宋体" w:hAnsi="宋体" w:eastAsia="宋体" w:cs="宋体"/>
                <w:sz w:val="21"/>
                <w:szCs w:val="21"/>
                <w:highlight w:val="none"/>
              </w:rPr>
              <w:t>分</w:t>
            </w:r>
          </w:p>
        </w:tc>
        <w:tc>
          <w:tcPr>
            <w:tcW w:w="5549" w:type="dxa"/>
            <w:tcBorders>
              <w:bottom w:val="single" w:color="auto" w:sz="4" w:space="0"/>
            </w:tcBorders>
            <w:noWrap w:val="0"/>
            <w:vAlign w:val="top"/>
          </w:tcPr>
          <w:p w14:paraId="15EF6AB3">
            <w:pPr>
              <w:pStyle w:val="9"/>
              <w:spacing w:before="52" w:line="239" w:lineRule="auto"/>
              <w:ind w:left="59" w:right="32"/>
              <w:rPr>
                <w:sz w:val="21"/>
                <w:szCs w:val="21"/>
                <w:highlight w:val="none"/>
              </w:rPr>
            </w:pPr>
            <w:r>
              <w:rPr>
                <w:spacing w:val="-2"/>
                <w:sz w:val="21"/>
                <w:szCs w:val="21"/>
                <w:highlight w:val="none"/>
              </w:rPr>
              <w:t>第一档，服务承诺、后续服务安排及保证措施系统全面、</w:t>
            </w:r>
            <w:r>
              <w:rPr>
                <w:spacing w:val="-5"/>
                <w:sz w:val="21"/>
                <w:szCs w:val="21"/>
                <w:highlight w:val="none"/>
              </w:rPr>
              <w:t>科学合理，得</w:t>
            </w:r>
            <w:r>
              <w:rPr>
                <w:rFonts w:hint="eastAsia"/>
                <w:spacing w:val="-5"/>
                <w:sz w:val="21"/>
                <w:szCs w:val="21"/>
                <w:highlight w:val="none"/>
                <w:lang w:val="en-US" w:eastAsia="zh-CN"/>
              </w:rPr>
              <w:t>4</w:t>
            </w:r>
            <w:r>
              <w:rPr>
                <w:spacing w:val="-5"/>
                <w:sz w:val="21"/>
                <w:szCs w:val="21"/>
                <w:highlight w:val="none"/>
              </w:rPr>
              <w:t>-</w:t>
            </w:r>
            <w:r>
              <w:rPr>
                <w:rFonts w:hint="eastAsia"/>
                <w:spacing w:val="-5"/>
                <w:sz w:val="21"/>
                <w:szCs w:val="21"/>
                <w:highlight w:val="none"/>
                <w:lang w:val="en-US" w:eastAsia="zh-CN"/>
              </w:rPr>
              <w:t>5</w:t>
            </w:r>
            <w:r>
              <w:rPr>
                <w:spacing w:val="-5"/>
                <w:sz w:val="21"/>
                <w:szCs w:val="21"/>
                <w:highlight w:val="none"/>
              </w:rPr>
              <w:t>分；</w:t>
            </w:r>
          </w:p>
          <w:p w14:paraId="0581E3E0">
            <w:pPr>
              <w:pStyle w:val="9"/>
              <w:spacing w:before="1" w:line="239" w:lineRule="auto"/>
              <w:ind w:left="59" w:right="52"/>
              <w:rPr>
                <w:sz w:val="21"/>
                <w:szCs w:val="21"/>
                <w:highlight w:val="none"/>
              </w:rPr>
            </w:pPr>
            <w:r>
              <w:rPr>
                <w:spacing w:val="-3"/>
                <w:sz w:val="21"/>
                <w:szCs w:val="21"/>
                <w:highlight w:val="none"/>
              </w:rPr>
              <w:t>第二档，服务承诺、后续服务安排及保证措施较完整、较</w:t>
            </w:r>
            <w:r>
              <w:rPr>
                <w:spacing w:val="-4"/>
                <w:sz w:val="21"/>
                <w:szCs w:val="21"/>
                <w:highlight w:val="none"/>
              </w:rPr>
              <w:t>科学，得</w:t>
            </w:r>
            <w:r>
              <w:rPr>
                <w:rFonts w:hint="eastAsia"/>
                <w:spacing w:val="-4"/>
                <w:sz w:val="21"/>
                <w:szCs w:val="21"/>
                <w:highlight w:val="none"/>
                <w:lang w:val="en-US" w:eastAsia="zh-CN"/>
              </w:rPr>
              <w:t>3</w:t>
            </w:r>
            <w:r>
              <w:rPr>
                <w:spacing w:val="-4"/>
                <w:sz w:val="21"/>
                <w:szCs w:val="21"/>
                <w:highlight w:val="none"/>
              </w:rPr>
              <w:t>-</w:t>
            </w:r>
            <w:r>
              <w:rPr>
                <w:rFonts w:hint="eastAsia"/>
                <w:spacing w:val="-4"/>
                <w:sz w:val="21"/>
                <w:szCs w:val="21"/>
                <w:highlight w:val="none"/>
                <w:lang w:val="en-US" w:eastAsia="zh-CN"/>
              </w:rPr>
              <w:t>4</w:t>
            </w:r>
            <w:r>
              <w:rPr>
                <w:spacing w:val="-4"/>
                <w:sz w:val="21"/>
                <w:szCs w:val="21"/>
                <w:highlight w:val="none"/>
              </w:rPr>
              <w:t>分；</w:t>
            </w:r>
          </w:p>
          <w:p w14:paraId="16988140">
            <w:pPr>
              <w:pStyle w:val="9"/>
              <w:spacing w:line="232" w:lineRule="auto"/>
              <w:ind w:left="59" w:leftChars="0" w:right="55" w:rightChars="0"/>
              <w:rPr>
                <w:rFonts w:hint="eastAsia" w:ascii="宋体" w:hAnsi="宋体" w:eastAsia="宋体" w:cs="宋体"/>
                <w:kern w:val="2"/>
                <w:sz w:val="21"/>
                <w:szCs w:val="21"/>
                <w:highlight w:val="none"/>
              </w:rPr>
            </w:pPr>
            <w:r>
              <w:rPr>
                <w:spacing w:val="-3"/>
                <w:sz w:val="21"/>
                <w:szCs w:val="21"/>
                <w:highlight w:val="none"/>
              </w:rPr>
              <w:t>第三档，服务承诺、后续服务安排及保证措施基本完整或</w:t>
            </w:r>
            <w:r>
              <w:rPr>
                <w:spacing w:val="-4"/>
                <w:sz w:val="21"/>
                <w:szCs w:val="21"/>
                <w:highlight w:val="none"/>
              </w:rPr>
              <w:t>基本合理，得</w:t>
            </w:r>
            <w:r>
              <w:rPr>
                <w:rFonts w:hint="eastAsia"/>
                <w:spacing w:val="-4"/>
                <w:sz w:val="21"/>
                <w:szCs w:val="21"/>
                <w:highlight w:val="none"/>
                <w:lang w:val="en-US" w:eastAsia="zh-CN"/>
              </w:rPr>
              <w:t>3</w:t>
            </w:r>
            <w:r>
              <w:rPr>
                <w:rFonts w:hint="eastAsia"/>
                <w:spacing w:val="-40"/>
                <w:sz w:val="21"/>
                <w:szCs w:val="21"/>
                <w:highlight w:val="none"/>
                <w:lang w:val="en-US" w:eastAsia="zh-CN"/>
              </w:rPr>
              <w:t>分</w:t>
            </w:r>
            <w:r>
              <w:rPr>
                <w:spacing w:val="-4"/>
                <w:sz w:val="21"/>
                <w:szCs w:val="21"/>
                <w:highlight w:val="none"/>
              </w:rPr>
              <w:t>。</w:t>
            </w:r>
          </w:p>
        </w:tc>
      </w:tr>
      <w:tr w14:paraId="620A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741" w:type="dxa"/>
            <w:vMerge w:val="continue"/>
            <w:noWrap w:val="0"/>
            <w:vAlign w:val="top"/>
          </w:tcPr>
          <w:p w14:paraId="67D1A4C1">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p>
        </w:tc>
        <w:tc>
          <w:tcPr>
            <w:tcW w:w="741" w:type="dxa"/>
            <w:vMerge w:val="continue"/>
            <w:noWrap w:val="0"/>
            <w:vAlign w:val="top"/>
          </w:tcPr>
          <w:p w14:paraId="5CF845E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624" w:type="dxa"/>
            <w:vMerge w:val="continue"/>
            <w:noWrap w:val="0"/>
            <w:vAlign w:val="top"/>
          </w:tcPr>
          <w:p w14:paraId="77ABE782">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p>
        </w:tc>
        <w:tc>
          <w:tcPr>
            <w:tcW w:w="1307" w:type="dxa"/>
            <w:tcBorders>
              <w:bottom w:val="single" w:color="auto" w:sz="4" w:space="0"/>
            </w:tcBorders>
            <w:noWrap w:val="0"/>
            <w:vAlign w:val="center"/>
          </w:tcPr>
          <w:p w14:paraId="59135516">
            <w:pPr>
              <w:pStyle w:val="3"/>
              <w:spacing w:line="160" w:lineRule="atLeast"/>
              <w:jc w:val="center"/>
              <w:rPr>
                <w:rFonts w:hint="eastAsia" w:ascii="宋体" w:hAnsi="宋体" w:eastAsia="宋体" w:cs="宋体"/>
                <w:sz w:val="21"/>
                <w:szCs w:val="21"/>
                <w:highlight w:val="none"/>
              </w:rPr>
            </w:pPr>
            <w:r>
              <w:rPr>
                <w:rFonts w:hint="eastAsia" w:ascii="Times New Roman" w:hAnsi="Times New Roman"/>
                <w:color w:val="auto"/>
                <w:szCs w:val="21"/>
                <w:highlight w:val="none"/>
              </w:rPr>
              <w:t>增值服务</w:t>
            </w:r>
          </w:p>
        </w:tc>
        <w:tc>
          <w:tcPr>
            <w:tcW w:w="690" w:type="dxa"/>
            <w:tcBorders>
              <w:bottom w:val="single" w:color="auto" w:sz="4" w:space="0"/>
            </w:tcBorders>
            <w:noWrap w:val="0"/>
            <w:vAlign w:val="center"/>
          </w:tcPr>
          <w:p w14:paraId="25A7198A">
            <w:pPr>
              <w:pStyle w:val="3"/>
              <w:spacing w:line="160" w:lineRule="atLeast"/>
              <w:jc w:val="center"/>
              <w:rPr>
                <w:rFonts w:hint="eastAsia" w:ascii="宋体" w:hAnsi="宋体" w:eastAsia="宋体" w:cs="宋体"/>
                <w:sz w:val="21"/>
                <w:szCs w:val="21"/>
                <w:highlight w:val="none"/>
              </w:rPr>
            </w:pPr>
            <w:r>
              <w:rPr>
                <w:rFonts w:hint="eastAsia" w:ascii="Times New Roman" w:hAnsi="Times New Roman"/>
                <w:color w:val="auto"/>
                <w:szCs w:val="21"/>
                <w:highlight w:val="none"/>
              </w:rPr>
              <w:t>5分</w:t>
            </w:r>
          </w:p>
        </w:tc>
        <w:tc>
          <w:tcPr>
            <w:tcW w:w="5549" w:type="dxa"/>
            <w:tcBorders>
              <w:bottom w:val="single" w:color="auto" w:sz="4" w:space="0"/>
            </w:tcBorders>
            <w:noWrap w:val="0"/>
            <w:vAlign w:val="center"/>
          </w:tcPr>
          <w:p w14:paraId="647EDCD6">
            <w:pPr>
              <w:jc w:val="left"/>
              <w:rPr>
                <w:color w:val="auto"/>
                <w:kern w:val="2"/>
                <w:sz w:val="21"/>
                <w:szCs w:val="21"/>
                <w:highlight w:val="none"/>
              </w:rPr>
            </w:pPr>
            <w:r>
              <w:rPr>
                <w:rFonts w:hint="eastAsia"/>
                <w:color w:val="auto"/>
                <w:kern w:val="2"/>
                <w:sz w:val="21"/>
                <w:szCs w:val="21"/>
                <w:highlight w:val="none"/>
                <w:lang w:val="en-US" w:eastAsia="zh-CN"/>
              </w:rPr>
              <w:t>能够</w:t>
            </w:r>
            <w:r>
              <w:rPr>
                <w:rFonts w:hint="eastAsia"/>
                <w:color w:val="auto"/>
                <w:kern w:val="2"/>
                <w:sz w:val="21"/>
                <w:szCs w:val="21"/>
                <w:highlight w:val="none"/>
              </w:rPr>
              <w:t>提供免费救援服务</w:t>
            </w:r>
            <w:r>
              <w:rPr>
                <w:rFonts w:hint="eastAsia"/>
                <w:color w:val="auto"/>
                <w:kern w:val="2"/>
                <w:sz w:val="21"/>
                <w:szCs w:val="21"/>
                <w:highlight w:val="none"/>
                <w:lang w:val="en-US" w:eastAsia="zh-CN"/>
              </w:rPr>
              <w:t>和</w:t>
            </w:r>
            <w:r>
              <w:rPr>
                <w:rFonts w:hint="eastAsia"/>
                <w:color w:val="auto"/>
                <w:kern w:val="2"/>
                <w:sz w:val="21"/>
                <w:szCs w:val="21"/>
                <w:highlight w:val="none"/>
              </w:rPr>
              <w:t>修车后免费洗车</w:t>
            </w:r>
            <w:r>
              <w:rPr>
                <w:rFonts w:hint="eastAsia"/>
                <w:color w:val="auto"/>
                <w:kern w:val="2"/>
                <w:sz w:val="21"/>
                <w:szCs w:val="21"/>
                <w:highlight w:val="none"/>
                <w:lang w:val="en-US" w:eastAsia="zh-CN"/>
              </w:rPr>
              <w:t>服务</w:t>
            </w:r>
            <w:r>
              <w:rPr>
                <w:rFonts w:hint="eastAsia"/>
                <w:color w:val="auto"/>
                <w:kern w:val="2"/>
                <w:sz w:val="21"/>
                <w:szCs w:val="21"/>
                <w:highlight w:val="none"/>
              </w:rPr>
              <w:t>的得</w:t>
            </w:r>
            <w:r>
              <w:rPr>
                <w:rFonts w:hint="eastAsia"/>
                <w:color w:val="auto"/>
                <w:kern w:val="2"/>
                <w:sz w:val="21"/>
                <w:szCs w:val="21"/>
                <w:highlight w:val="none"/>
                <w:lang w:val="en-US" w:eastAsia="zh-CN"/>
              </w:rPr>
              <w:t>5</w:t>
            </w:r>
            <w:r>
              <w:rPr>
                <w:rFonts w:hint="eastAsia"/>
                <w:color w:val="auto"/>
                <w:kern w:val="2"/>
                <w:sz w:val="21"/>
                <w:szCs w:val="21"/>
                <w:highlight w:val="none"/>
              </w:rPr>
              <w:t>分；</w:t>
            </w:r>
          </w:p>
          <w:p w14:paraId="3FF4945E">
            <w:pPr>
              <w:jc w:val="left"/>
              <w:rPr>
                <w:rFonts w:hint="default" w:eastAsia="宋体"/>
                <w:spacing w:val="-3"/>
                <w:sz w:val="21"/>
                <w:szCs w:val="21"/>
                <w:highlight w:val="none"/>
                <w:lang w:val="en-US" w:eastAsia="zh-CN"/>
              </w:rPr>
            </w:pPr>
            <w:r>
              <w:rPr>
                <w:rFonts w:hint="eastAsia"/>
                <w:spacing w:val="-3"/>
                <w:sz w:val="21"/>
                <w:szCs w:val="21"/>
                <w:highlight w:val="none"/>
                <w:lang w:val="en-US" w:eastAsia="zh-CN"/>
              </w:rPr>
              <w:t>注：以</w:t>
            </w:r>
            <w:r>
              <w:rPr>
                <w:rFonts w:hint="eastAsia"/>
                <w:color w:val="auto"/>
                <w:kern w:val="2"/>
                <w:sz w:val="21"/>
                <w:szCs w:val="21"/>
                <w:highlight w:val="none"/>
              </w:rPr>
              <w:t>提供免费救援服务</w:t>
            </w:r>
            <w:r>
              <w:rPr>
                <w:rFonts w:hint="eastAsia"/>
                <w:color w:val="auto"/>
                <w:kern w:val="2"/>
                <w:sz w:val="21"/>
                <w:szCs w:val="21"/>
                <w:highlight w:val="none"/>
                <w:lang w:val="en-US" w:eastAsia="zh-CN"/>
              </w:rPr>
              <w:t>和</w:t>
            </w:r>
            <w:r>
              <w:rPr>
                <w:rFonts w:hint="eastAsia"/>
                <w:color w:val="auto"/>
                <w:kern w:val="2"/>
                <w:sz w:val="21"/>
                <w:szCs w:val="21"/>
                <w:highlight w:val="none"/>
              </w:rPr>
              <w:t>修车后免费洗车</w:t>
            </w:r>
            <w:r>
              <w:rPr>
                <w:rFonts w:hint="eastAsia"/>
                <w:color w:val="auto"/>
                <w:kern w:val="2"/>
                <w:sz w:val="21"/>
                <w:szCs w:val="21"/>
                <w:highlight w:val="none"/>
                <w:lang w:val="en-US" w:eastAsia="zh-CN"/>
              </w:rPr>
              <w:t>服务承诺书为准。</w:t>
            </w:r>
          </w:p>
        </w:tc>
      </w:tr>
      <w:tr w14:paraId="012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14:paraId="5E5ADDAC">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741" w:type="dxa"/>
            <w:tcBorders>
              <w:top w:val="nil"/>
            </w:tcBorders>
            <w:noWrap w:val="0"/>
            <w:vAlign w:val="center"/>
          </w:tcPr>
          <w:p w14:paraId="6687298A">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624" w:type="dxa"/>
            <w:tcBorders>
              <w:top w:val="nil"/>
              <w:bottom w:val="single" w:color="auto" w:sz="4" w:space="0"/>
            </w:tcBorders>
            <w:noWrap w:val="0"/>
            <w:vAlign w:val="center"/>
          </w:tcPr>
          <w:p w14:paraId="073C7FAF">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30分</w:t>
            </w:r>
          </w:p>
        </w:tc>
        <w:tc>
          <w:tcPr>
            <w:tcW w:w="7546" w:type="dxa"/>
            <w:gridSpan w:val="3"/>
            <w:tcBorders>
              <w:bottom w:val="single" w:color="auto" w:sz="4" w:space="0"/>
            </w:tcBorders>
            <w:noWrap w:val="0"/>
            <w:vAlign w:val="center"/>
          </w:tcPr>
          <w:p w14:paraId="5A2C0F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评标价得分计算公式：</w:t>
            </w:r>
          </w:p>
          <w:p w14:paraId="6BD34C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（1）如果投标人的评标价＞评标基准价，则评标价得分=F-（投标人评标价-评标基准价）/评标基准价×100×E1；</w:t>
            </w:r>
          </w:p>
          <w:p w14:paraId="6BE7CA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（2）如果投标人的评标价≤评标基准价，则评标价得分=F+（投标人评标价-评标基准价）/评标基准价×100×E2。</w:t>
            </w:r>
          </w:p>
          <w:p w14:paraId="4AF8B0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其中，F=</w:t>
            </w: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0；E1=0.</w:t>
            </w:r>
            <w:r>
              <w:rPr>
                <w:rFonts w:hint="eastAsia" w:ascii="宋体" w:hAnsi="宋体" w:cs="宋体"/>
                <w:kern w:val="2"/>
                <w:sz w:val="21"/>
                <w:szCs w:val="21"/>
                <w:highlight w:val="none"/>
                <w:lang w:val="en-US" w:eastAsia="zh-CN"/>
              </w:rPr>
              <w:t>2</w:t>
            </w:r>
            <w:r>
              <w:rPr>
                <w:rFonts w:hint="eastAsia" w:ascii="宋体" w:hAnsi="宋体" w:eastAsia="宋体" w:cs="宋体"/>
                <w:kern w:val="2"/>
                <w:sz w:val="21"/>
                <w:szCs w:val="21"/>
                <w:highlight w:val="none"/>
              </w:rPr>
              <w:t>；E2=0.</w:t>
            </w:r>
            <w:r>
              <w:rPr>
                <w:rFonts w:hint="eastAsia" w:ascii="宋体" w:hAnsi="宋体" w:cs="宋体"/>
                <w:kern w:val="2"/>
                <w:sz w:val="21"/>
                <w:szCs w:val="21"/>
                <w:highlight w:val="none"/>
                <w:lang w:val="en-US" w:eastAsia="zh-CN"/>
              </w:rPr>
              <w:t>1</w:t>
            </w:r>
            <w:r>
              <w:rPr>
                <w:rFonts w:hint="eastAsia" w:ascii="宋体" w:hAnsi="宋体" w:eastAsia="宋体" w:cs="宋体"/>
                <w:kern w:val="2"/>
                <w:sz w:val="21"/>
                <w:szCs w:val="21"/>
                <w:highlight w:val="none"/>
              </w:rPr>
              <w:t>；评标价最低得分为0分。得分保留两位小数。</w:t>
            </w:r>
          </w:p>
        </w:tc>
      </w:tr>
      <w:tr w14:paraId="12F3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ABFF6D0">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741" w:type="dxa"/>
            <w:noWrap w:val="0"/>
            <w:vAlign w:val="center"/>
          </w:tcPr>
          <w:p w14:paraId="2C01A814">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624" w:type="dxa"/>
            <w:tcBorders>
              <w:top w:val="single" w:color="auto" w:sz="4" w:space="0"/>
            </w:tcBorders>
            <w:noWrap w:val="0"/>
            <w:vAlign w:val="center"/>
          </w:tcPr>
          <w:p w14:paraId="4E7E025D">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1307" w:type="dxa"/>
            <w:tcBorders>
              <w:top w:val="single" w:color="auto" w:sz="4" w:space="0"/>
            </w:tcBorders>
            <w:noWrap w:val="0"/>
            <w:vAlign w:val="center"/>
          </w:tcPr>
          <w:p w14:paraId="23968E76">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690" w:type="dxa"/>
            <w:tcBorders>
              <w:top w:val="single" w:color="auto" w:sz="4" w:space="0"/>
            </w:tcBorders>
            <w:noWrap w:val="0"/>
            <w:vAlign w:val="center"/>
          </w:tcPr>
          <w:p w14:paraId="49344A9E">
            <w:pPr>
              <w:pStyle w:val="3"/>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20分</w:t>
            </w:r>
          </w:p>
        </w:tc>
        <w:tc>
          <w:tcPr>
            <w:tcW w:w="5549" w:type="dxa"/>
            <w:tcBorders>
              <w:top w:val="single" w:color="auto" w:sz="4" w:space="0"/>
            </w:tcBorders>
            <w:noWrap w:val="0"/>
            <w:vAlign w:val="center"/>
          </w:tcPr>
          <w:p w14:paraId="7EEBD6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满足“资格审查条件（业绩最低要求）”得12分；</w:t>
            </w:r>
          </w:p>
          <w:p w14:paraId="6BE4E2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每增加一个满足“资格审查条件（业绩最低要求）”的业绩，加4分，最多加8分。</w:t>
            </w:r>
          </w:p>
        </w:tc>
      </w:tr>
    </w:tbl>
    <w:p w14:paraId="1D59511C">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14:paraId="1F2277B2">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w:t>
      </w:r>
      <w:r>
        <w:rPr>
          <w:rFonts w:hint="eastAsia" w:ascii="宋体" w:hAnsi="宋体" w:cs="宋体"/>
          <w:kern w:val="0"/>
          <w:sz w:val="21"/>
          <w:szCs w:val="21"/>
          <w:highlight w:val="none"/>
          <w:lang w:val="en-US" w:eastAsia="zh-CN"/>
        </w:rPr>
        <w:t>分</w:t>
      </w:r>
      <w:r>
        <w:rPr>
          <w:rFonts w:hint="eastAsia" w:ascii="宋体" w:hAnsi="宋体" w:eastAsia="宋体" w:cs="宋体"/>
          <w:kern w:val="0"/>
          <w:sz w:val="21"/>
          <w:szCs w:val="21"/>
          <w:highlight w:val="none"/>
          <w:lang w:val="zh-CN"/>
        </w:rPr>
        <w:t>因素</w:t>
      </w:r>
      <w:r>
        <w:rPr>
          <w:rFonts w:hint="eastAsia" w:ascii="宋体" w:hAnsi="宋体" w:cs="宋体"/>
          <w:kern w:val="0"/>
          <w:sz w:val="21"/>
          <w:szCs w:val="21"/>
          <w:highlight w:val="none"/>
          <w:lang w:val="en-US" w:eastAsia="zh-CN"/>
        </w:rPr>
        <w:t>细分项</w:t>
      </w:r>
      <w:r>
        <w:rPr>
          <w:rFonts w:hint="eastAsia" w:ascii="宋体" w:hAnsi="宋体" w:eastAsia="宋体" w:cs="宋体"/>
          <w:kern w:val="0"/>
          <w:sz w:val="21"/>
          <w:szCs w:val="21"/>
          <w:highlight w:val="none"/>
          <w:lang w:val="zh-CN"/>
        </w:rPr>
        <w:t>缺项则该项得0分。</w:t>
      </w:r>
    </w:p>
    <w:p w14:paraId="36E89E35"/>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2"/>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E5BF4"/>
    <w:rsid w:val="780E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customStyle="1" w:styleId="8">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9">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2026-01-08T09:34:00Z</dcterms:created>
  <dc:creator>Jessie</dc:creator>
  <cp:lastModifiedBy>Jessie</cp:lastModifiedBy>
  <dcterms:modified xsi:type="dcterms:W3CDTF">2026-01-08T09:34:56Z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90E1E3E9E5C84F29A05B3C7799736234_11</vt:lpwstr>
  </property>
  <property fmtid="{D5CDD505-2E9C-101B-9397-08002B2CF9AE}" pid="4" name="KSOTemplateDocerSaveRecord">
    <vt:lpwstr>eyJoZGlkIjoiMjFiZGQ5ZGI2YzJmMTFjZjY2MjBlNjU1ODA2YTNmYjYiLCJ1c2VySWQiOiIyODgzODQxMDUifQ==</vt:lpwstr>
  </property>
</Properties>
</file>