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586F">
      <w:pPr>
        <w:spacing w:line="480" w:lineRule="exact"/>
        <w:jc w:val="left"/>
        <w:outlineLvl w:val="2"/>
        <w:rPr>
          <w:rFonts w:hint="eastAsia" w:ascii="宋体" w:hAnsi="宋体" w:cs="宋体"/>
          <w:b/>
          <w:sz w:val="24"/>
        </w:rPr>
      </w:pPr>
      <w:bookmarkStart w:id="12" w:name="_GoBack"/>
      <w:bookmarkEnd w:id="12"/>
      <w:r>
        <w:rPr>
          <w:rFonts w:hint="eastAsia" w:ascii="宋体" w:hAnsi="宋体" w:cs="宋体"/>
          <w:b/>
          <w:sz w:val="24"/>
        </w:rPr>
        <w:t>附件1：资格审查条件</w:t>
      </w:r>
    </w:p>
    <w:p w14:paraId="6652EE3A">
      <w:pPr>
        <w:pStyle w:val="2"/>
        <w:spacing w:before="0" w:after="0" w:line="480" w:lineRule="exact"/>
        <w:ind w:firstLine="103"/>
        <w:jc w:val="center"/>
        <w:rPr>
          <w:rFonts w:hint="eastAsia" w:ascii="宋体" w:eastAsia="宋体" w:cs="宋体"/>
          <w:b/>
          <w:bCs w:val="0"/>
          <w:sz w:val="21"/>
          <w:szCs w:val="21"/>
        </w:rPr>
      </w:pPr>
      <w:bookmarkStart w:id="0" w:name="_Toc448050340"/>
      <w:bookmarkStart w:id="1" w:name="_Toc6300149"/>
      <w:bookmarkStart w:id="2" w:name="_Toc525914594"/>
      <w:r>
        <w:rPr>
          <w:rFonts w:hint="eastAsia" w:ascii="宋体" w:eastAsia="宋体" w:cs="宋体"/>
          <w:b/>
          <w:bCs w:val="0"/>
          <w:sz w:val="21"/>
          <w:szCs w:val="21"/>
        </w:rPr>
        <w:t>附录1 资格审查条件(资质最低条件)</w:t>
      </w:r>
      <w:bookmarkEnd w:id="0"/>
      <w:bookmarkEnd w:id="1"/>
      <w:bookmarkEnd w:id="2"/>
    </w:p>
    <w:tbl>
      <w:tblPr>
        <w:tblStyle w:val="5"/>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240"/>
      </w:tblGrid>
      <w:tr w14:paraId="7AEA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1544" w:type="dxa"/>
            <w:noWrap w:val="0"/>
            <w:vAlign w:val="top"/>
          </w:tcPr>
          <w:p w14:paraId="07D5006E">
            <w:pPr>
              <w:spacing w:line="360" w:lineRule="exact"/>
              <w:jc w:val="center"/>
              <w:rPr>
                <w:rFonts w:hint="eastAsia" w:ascii="宋体" w:hAnsi="宋体" w:cs="宋体"/>
                <w:szCs w:val="21"/>
              </w:rPr>
            </w:pPr>
            <w:r>
              <w:rPr>
                <w:rFonts w:hint="eastAsia" w:ascii="宋体" w:hAnsi="宋体" w:cs="宋体"/>
                <w:b/>
                <w:bCs/>
                <w:szCs w:val="21"/>
              </w:rPr>
              <w:t>标段号</w:t>
            </w:r>
          </w:p>
        </w:tc>
        <w:tc>
          <w:tcPr>
            <w:tcW w:w="8240" w:type="dxa"/>
            <w:noWrap w:val="0"/>
            <w:vAlign w:val="top"/>
          </w:tcPr>
          <w:p w14:paraId="1FFA1677">
            <w:pPr>
              <w:spacing w:line="360" w:lineRule="exact"/>
              <w:jc w:val="center"/>
              <w:rPr>
                <w:rFonts w:hint="eastAsia" w:ascii="宋体" w:hAnsi="宋体" w:cs="宋体"/>
                <w:b/>
                <w:bCs/>
                <w:szCs w:val="21"/>
              </w:rPr>
            </w:pPr>
            <w:r>
              <w:rPr>
                <w:rFonts w:hint="eastAsia" w:ascii="宋体" w:hAnsi="宋体" w:cs="宋体"/>
                <w:b/>
                <w:bCs/>
                <w:szCs w:val="21"/>
              </w:rPr>
              <w:t>资质要求</w:t>
            </w:r>
          </w:p>
        </w:tc>
      </w:tr>
      <w:tr w14:paraId="1756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4" w:type="dxa"/>
            <w:noWrap w:val="0"/>
            <w:vAlign w:val="center"/>
          </w:tcPr>
          <w:p w14:paraId="0376A825">
            <w:pPr>
              <w:jc w:val="center"/>
              <w:rPr>
                <w:rFonts w:hint="eastAsia" w:ascii="宋体" w:hAnsi="宋体" w:cs="宋体"/>
              </w:rPr>
            </w:pPr>
            <w:r>
              <w:rPr>
                <w:rFonts w:hint="eastAsia" w:ascii="宋体" w:hAnsi="宋体" w:cs="宋体"/>
                <w:b/>
                <w:bCs/>
                <w:szCs w:val="21"/>
              </w:rPr>
              <w:t>DL1</w:t>
            </w:r>
          </w:p>
          <w:p w14:paraId="2565F6BC">
            <w:pPr>
              <w:pStyle w:val="4"/>
              <w:spacing w:line="360" w:lineRule="exact"/>
              <w:ind w:firstLine="420" w:firstLineChars="200"/>
              <w:rPr>
                <w:rFonts w:hint="eastAsia" w:ascii="宋体" w:hAnsi="宋体" w:cs="宋体"/>
                <w:szCs w:val="21"/>
              </w:rPr>
            </w:pPr>
          </w:p>
        </w:tc>
        <w:tc>
          <w:tcPr>
            <w:tcW w:w="8240" w:type="dxa"/>
            <w:noWrap w:val="0"/>
            <w:vAlign w:val="center"/>
          </w:tcPr>
          <w:p w14:paraId="65A18BF2">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1.中华人民共和国境内的法人或其他组织，持有有效的营业执照；</w:t>
            </w:r>
          </w:p>
          <w:p w14:paraId="0AA80E8F">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2.具有住房和城乡建设行政主管部门颁发的工程勘察综合甲级资质或工程勘察专业类（工程测量、岩土工程）乙级及以上资质；</w:t>
            </w:r>
          </w:p>
          <w:p w14:paraId="26316B8E">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3.具备住房和城乡建设行政主管部门颁发的工程设计综合甲级资质或工程设计电力行业乙级及以上资质或工程设计电力行业（变电工程、送电工程）专业乙级及以上资质；</w:t>
            </w:r>
          </w:p>
          <w:p w14:paraId="66786FA0">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具有住房和城乡建设主管部门颁发的电力工程施工总承包二级及以上或输变电工程专业承包二级及以上资质，具有有效的承装（修、试）电力设施许可证（许可范围包含承装类、承修类、承试类二级及以上）。具有住房和城乡建设主管部门核发的有效的安全生产许可证；</w:t>
            </w:r>
          </w:p>
          <w:p w14:paraId="7EEC945B">
            <w:pPr>
              <w:spacing w:line="360" w:lineRule="exact"/>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联合体投标的，联合体牵头人应具有住房和城乡建设主管部门颁发的电力工程施工总承包二级及以上或输变电工程专业承包二级及以上资质，具有有效的承装（修、试）电力设施许可证（许可范围包含承装类、承修类、承试类二级及以上），具有住房和城乡建设主管部门核发的有效的安全生产许可证</w:t>
            </w:r>
            <w:r>
              <w:rPr>
                <w:rFonts w:hint="eastAsia" w:ascii="宋体" w:hAnsi="宋体" w:cs="宋体"/>
                <w:szCs w:val="21"/>
                <w:highlight w:val="none"/>
                <w:lang w:eastAsia="zh-CN"/>
              </w:rPr>
              <w:t>；</w:t>
            </w:r>
          </w:p>
          <w:p w14:paraId="740B3D2E">
            <w:pPr>
              <w:spacing w:line="360" w:lineRule="exact"/>
              <w:ind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联合体成员应具备</w:t>
            </w:r>
            <w:r>
              <w:rPr>
                <w:rFonts w:hint="eastAsia" w:ascii="宋体" w:hAnsi="宋体" w:cs="宋体"/>
                <w:szCs w:val="21"/>
                <w:highlight w:val="none"/>
              </w:rPr>
              <w:t>具有住房和城乡建设行政主管部门颁发的工程勘察综合甲级资质或工程勘察专业类（工程测量、岩土工程）乙级及以上资质；具</w:t>
            </w:r>
            <w:r>
              <w:rPr>
                <w:rFonts w:hint="eastAsia" w:ascii="宋体" w:hAnsi="宋体" w:cs="宋体"/>
                <w:szCs w:val="21"/>
                <w:highlight w:val="none"/>
                <w:lang w:val="en-US" w:eastAsia="zh-CN"/>
              </w:rPr>
              <w:t>有</w:t>
            </w:r>
            <w:r>
              <w:rPr>
                <w:rFonts w:hint="eastAsia" w:ascii="宋体" w:hAnsi="宋体" w:cs="宋体"/>
                <w:szCs w:val="21"/>
                <w:highlight w:val="none"/>
              </w:rPr>
              <w:t>住房和城乡建设行政主管部门颁发的工程设计综合甲级资质或工程设计电力行业乙级及以上资质或工程设计电力行业（变电工程、送电工程）专业乙级及以上资质</w:t>
            </w:r>
            <w:r>
              <w:rPr>
                <w:rFonts w:hint="eastAsia" w:ascii="宋体" w:hAnsi="宋体" w:cs="宋体"/>
                <w:szCs w:val="21"/>
                <w:highlight w:val="none"/>
                <w:lang w:eastAsia="zh-CN"/>
              </w:rPr>
              <w:t>。</w:t>
            </w:r>
          </w:p>
        </w:tc>
      </w:tr>
      <w:tr w14:paraId="6890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4" w:type="dxa"/>
            <w:noWrap w:val="0"/>
            <w:vAlign w:val="center"/>
          </w:tcPr>
          <w:p w14:paraId="07F38C83">
            <w:pPr>
              <w:jc w:val="center"/>
              <w:rPr>
                <w:rFonts w:hint="default" w:ascii="宋体" w:hAnsi="宋体" w:eastAsia="宋体" w:cs="宋体"/>
                <w:szCs w:val="21"/>
                <w:lang w:val="en-US" w:eastAsia="zh-CN"/>
              </w:rPr>
            </w:pPr>
            <w:bookmarkStart w:id="3" w:name="_Toc506292430"/>
            <w:bookmarkStart w:id="4" w:name="_Toc525914596"/>
            <w:bookmarkStart w:id="5" w:name="_Toc6300150"/>
            <w:bookmarkStart w:id="6" w:name="_Toc448050342"/>
            <w:r>
              <w:rPr>
                <w:rFonts w:hint="eastAsia" w:ascii="宋体" w:hAnsi="宋体" w:eastAsia="宋体" w:cs="宋体"/>
                <w:b/>
                <w:bCs/>
                <w:szCs w:val="21"/>
                <w:lang w:val="en-US" w:eastAsia="zh-CN"/>
              </w:rPr>
              <w:t>DL2</w:t>
            </w:r>
          </w:p>
        </w:tc>
        <w:tc>
          <w:tcPr>
            <w:tcW w:w="8240" w:type="dxa"/>
            <w:noWrap w:val="0"/>
            <w:vAlign w:val="center"/>
          </w:tcPr>
          <w:p w14:paraId="32319729">
            <w:pPr>
              <w:pStyle w:val="4"/>
              <w:numPr>
                <w:ilvl w:val="0"/>
                <w:numId w:val="1"/>
              </w:num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中华人民共和国境内的法人或其他组织，持有有效的营业执照；</w:t>
            </w:r>
          </w:p>
          <w:p w14:paraId="4DA20332">
            <w:pPr>
              <w:pStyle w:val="4"/>
              <w:numPr>
                <w:ilvl w:val="0"/>
                <w:numId w:val="0"/>
              </w:num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2.具有住房和城乡建设行政主管部门颁发的工程勘察综合甲级资质或工程勘察专业类（工程测量、岩土工程）</w:t>
            </w:r>
            <w:r>
              <w:rPr>
                <w:rFonts w:hint="eastAsia" w:ascii="宋体" w:hAnsi="宋体" w:cs="宋体"/>
                <w:szCs w:val="21"/>
                <w:highlight w:val="none"/>
                <w:lang w:val="en-US" w:eastAsia="zh-CN"/>
              </w:rPr>
              <w:t>甲</w:t>
            </w:r>
            <w:r>
              <w:rPr>
                <w:rFonts w:hint="eastAsia" w:ascii="宋体" w:hAnsi="宋体" w:cs="宋体"/>
                <w:szCs w:val="21"/>
                <w:highlight w:val="none"/>
              </w:rPr>
              <w:t>级资质；</w:t>
            </w:r>
          </w:p>
          <w:p w14:paraId="3BA3A690">
            <w:pPr>
              <w:pStyle w:val="4"/>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3.具备住房和城乡建设行政主管部门颁发的工程设计综合甲级资质或工程设计电力行业</w:t>
            </w:r>
            <w:r>
              <w:rPr>
                <w:rFonts w:hint="eastAsia" w:ascii="宋体" w:hAnsi="宋体" w:cs="宋体"/>
                <w:szCs w:val="21"/>
                <w:highlight w:val="none"/>
                <w:lang w:val="en-US" w:eastAsia="zh-CN"/>
              </w:rPr>
              <w:t>甲</w:t>
            </w:r>
            <w:r>
              <w:rPr>
                <w:rFonts w:hint="eastAsia" w:ascii="宋体" w:hAnsi="宋体" w:cs="宋体"/>
                <w:szCs w:val="21"/>
                <w:highlight w:val="none"/>
              </w:rPr>
              <w:t>级资质或工程设计电力行业（变电工程、送电工程）专业</w:t>
            </w:r>
            <w:r>
              <w:rPr>
                <w:rFonts w:hint="eastAsia" w:ascii="宋体" w:hAnsi="宋体" w:cs="宋体"/>
                <w:szCs w:val="21"/>
                <w:highlight w:val="none"/>
                <w:lang w:val="en-US" w:eastAsia="zh-CN"/>
              </w:rPr>
              <w:t>甲</w:t>
            </w:r>
            <w:r>
              <w:rPr>
                <w:rFonts w:hint="eastAsia" w:ascii="宋体" w:hAnsi="宋体" w:cs="宋体"/>
                <w:szCs w:val="21"/>
                <w:highlight w:val="none"/>
              </w:rPr>
              <w:t>级资质；</w:t>
            </w:r>
          </w:p>
          <w:p w14:paraId="6CEAB28B">
            <w:pPr>
              <w:pStyle w:val="4"/>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4.具有住房和城乡建设主管部门颁发的电力工程施工总承包</w:t>
            </w:r>
            <w:r>
              <w:rPr>
                <w:rFonts w:hint="eastAsia" w:ascii="宋体" w:hAnsi="宋体" w:cs="宋体"/>
                <w:szCs w:val="21"/>
                <w:highlight w:val="none"/>
                <w:lang w:val="en-US" w:eastAsia="zh-CN"/>
              </w:rPr>
              <w:t>一</w:t>
            </w:r>
            <w:r>
              <w:rPr>
                <w:rFonts w:hint="eastAsia" w:ascii="宋体" w:hAnsi="宋体" w:cs="宋体"/>
                <w:szCs w:val="21"/>
                <w:highlight w:val="none"/>
              </w:rPr>
              <w:t>级</w:t>
            </w:r>
            <w:r>
              <w:rPr>
                <w:rFonts w:hint="eastAsia" w:ascii="宋体" w:hAnsi="宋体" w:cs="宋体"/>
                <w:szCs w:val="21"/>
                <w:highlight w:val="none"/>
                <w:lang w:val="en-US" w:eastAsia="zh-CN"/>
              </w:rPr>
              <w:t>及以上</w:t>
            </w:r>
            <w:r>
              <w:rPr>
                <w:rFonts w:hint="eastAsia" w:ascii="宋体" w:hAnsi="宋体" w:cs="宋体"/>
                <w:szCs w:val="21"/>
                <w:highlight w:val="none"/>
              </w:rPr>
              <w:t>或输变电工程专业承包</w:t>
            </w:r>
            <w:r>
              <w:rPr>
                <w:rFonts w:hint="eastAsia" w:ascii="宋体" w:hAnsi="宋体" w:cs="宋体"/>
                <w:szCs w:val="21"/>
                <w:highlight w:val="none"/>
                <w:lang w:val="en-US" w:eastAsia="zh-CN"/>
              </w:rPr>
              <w:t>一</w:t>
            </w:r>
            <w:r>
              <w:rPr>
                <w:rFonts w:hint="eastAsia" w:ascii="宋体" w:hAnsi="宋体" w:cs="宋体"/>
                <w:szCs w:val="21"/>
                <w:highlight w:val="none"/>
              </w:rPr>
              <w:t>级资质，具有有效的承装（修、试）电力设施许可证（许可范围包含承装类、承修类、承试类</w:t>
            </w:r>
            <w:r>
              <w:rPr>
                <w:rFonts w:hint="eastAsia" w:ascii="宋体" w:hAnsi="宋体" w:cs="宋体"/>
                <w:szCs w:val="21"/>
                <w:highlight w:val="none"/>
                <w:lang w:val="en-US" w:eastAsia="zh-CN"/>
              </w:rPr>
              <w:t>一</w:t>
            </w:r>
            <w:r>
              <w:rPr>
                <w:rFonts w:hint="eastAsia" w:ascii="宋体" w:hAnsi="宋体" w:cs="宋体"/>
                <w:szCs w:val="21"/>
                <w:highlight w:val="none"/>
              </w:rPr>
              <w:t>级）。具有住房和城乡建设主管部门核发的有效的安全生产许可证；</w:t>
            </w:r>
          </w:p>
          <w:p w14:paraId="65850BF7">
            <w:pPr>
              <w:pStyle w:val="4"/>
              <w:spacing w:line="36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联合体投标的，联合体牵头人应具有住房和城乡建设主管部门颁发的电力工程施工总承包</w:t>
            </w:r>
            <w:r>
              <w:rPr>
                <w:rFonts w:hint="eastAsia" w:ascii="宋体" w:hAnsi="宋体" w:cs="宋体"/>
                <w:szCs w:val="21"/>
                <w:highlight w:val="none"/>
                <w:lang w:val="en-US" w:eastAsia="zh-CN"/>
              </w:rPr>
              <w:t>一</w:t>
            </w:r>
            <w:r>
              <w:rPr>
                <w:rFonts w:hint="eastAsia" w:ascii="宋体" w:hAnsi="宋体" w:cs="宋体"/>
                <w:szCs w:val="21"/>
                <w:highlight w:val="none"/>
              </w:rPr>
              <w:t>级及以上或输变电工程专业承包</w:t>
            </w:r>
            <w:r>
              <w:rPr>
                <w:rFonts w:hint="eastAsia" w:ascii="宋体" w:hAnsi="宋体" w:cs="宋体"/>
                <w:szCs w:val="21"/>
                <w:highlight w:val="none"/>
                <w:lang w:val="en-US" w:eastAsia="zh-CN"/>
              </w:rPr>
              <w:t>一</w:t>
            </w:r>
            <w:r>
              <w:rPr>
                <w:rFonts w:hint="eastAsia" w:ascii="宋体" w:hAnsi="宋体" w:cs="宋体"/>
                <w:szCs w:val="21"/>
                <w:highlight w:val="none"/>
              </w:rPr>
              <w:t>级资质，具有有效的承装（修、试）电力设施许可证（许可范围包含承装类、承修类、承试类</w:t>
            </w:r>
            <w:r>
              <w:rPr>
                <w:rFonts w:hint="eastAsia" w:ascii="宋体" w:hAnsi="宋体" w:cs="宋体"/>
                <w:szCs w:val="21"/>
                <w:highlight w:val="none"/>
                <w:lang w:val="en-US" w:eastAsia="zh-CN"/>
              </w:rPr>
              <w:t>一</w:t>
            </w:r>
            <w:r>
              <w:rPr>
                <w:rFonts w:hint="eastAsia" w:ascii="宋体" w:hAnsi="宋体" w:cs="宋体"/>
                <w:szCs w:val="21"/>
                <w:highlight w:val="none"/>
              </w:rPr>
              <w:t>级），具有住房和城乡建设主管部门核发的有效的安全生产许可证</w:t>
            </w:r>
            <w:r>
              <w:rPr>
                <w:rFonts w:hint="eastAsia" w:ascii="宋体" w:hAnsi="宋体" w:cs="宋体"/>
                <w:szCs w:val="21"/>
                <w:highlight w:val="none"/>
                <w:lang w:eastAsia="zh-CN"/>
              </w:rPr>
              <w:t>；</w:t>
            </w:r>
          </w:p>
          <w:p w14:paraId="56F3A4EB">
            <w:pPr>
              <w:pStyle w:val="4"/>
              <w:spacing w:line="36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联合体成员应具备</w:t>
            </w:r>
            <w:r>
              <w:rPr>
                <w:rFonts w:hint="eastAsia" w:ascii="宋体" w:hAnsi="宋体" w:cs="宋体"/>
                <w:szCs w:val="21"/>
                <w:highlight w:val="none"/>
              </w:rPr>
              <w:t>具有住房和城乡建设行政主管部门颁发的工程勘察综合甲级资质或工程勘察专业类（工程测量、岩土工程）</w:t>
            </w:r>
            <w:r>
              <w:rPr>
                <w:rFonts w:hint="eastAsia" w:ascii="宋体" w:hAnsi="宋体" w:cs="宋体"/>
                <w:szCs w:val="21"/>
                <w:highlight w:val="none"/>
                <w:lang w:val="en-US" w:eastAsia="zh-CN"/>
              </w:rPr>
              <w:t>甲</w:t>
            </w:r>
            <w:r>
              <w:rPr>
                <w:rFonts w:hint="eastAsia" w:ascii="宋体" w:hAnsi="宋体" w:cs="宋体"/>
                <w:szCs w:val="21"/>
                <w:highlight w:val="none"/>
              </w:rPr>
              <w:t>级资质；具</w:t>
            </w:r>
            <w:r>
              <w:rPr>
                <w:rFonts w:hint="eastAsia" w:ascii="宋体" w:hAnsi="宋体" w:cs="宋体"/>
                <w:szCs w:val="21"/>
                <w:highlight w:val="none"/>
                <w:lang w:val="en-US" w:eastAsia="zh-CN"/>
              </w:rPr>
              <w:t>有</w:t>
            </w:r>
            <w:r>
              <w:rPr>
                <w:rFonts w:hint="eastAsia" w:ascii="宋体" w:hAnsi="宋体" w:cs="宋体"/>
                <w:szCs w:val="21"/>
                <w:highlight w:val="none"/>
              </w:rPr>
              <w:t>住房和城乡建设行政主管部门颁发的工程设计综合甲级资质或工程设计电力行业</w:t>
            </w:r>
            <w:r>
              <w:rPr>
                <w:rFonts w:hint="eastAsia" w:ascii="宋体" w:hAnsi="宋体" w:cs="宋体"/>
                <w:szCs w:val="21"/>
                <w:highlight w:val="none"/>
                <w:lang w:val="en-US" w:eastAsia="zh-CN"/>
              </w:rPr>
              <w:t>甲</w:t>
            </w:r>
            <w:r>
              <w:rPr>
                <w:rFonts w:hint="eastAsia" w:ascii="宋体" w:hAnsi="宋体" w:cs="宋体"/>
                <w:szCs w:val="21"/>
                <w:highlight w:val="none"/>
              </w:rPr>
              <w:t>级资质或工程设计电力行业（变电工程、送电工程）专业</w:t>
            </w:r>
            <w:r>
              <w:rPr>
                <w:rFonts w:hint="eastAsia" w:ascii="宋体" w:hAnsi="宋体" w:cs="宋体"/>
                <w:szCs w:val="21"/>
                <w:highlight w:val="none"/>
                <w:lang w:val="en-US" w:eastAsia="zh-CN"/>
              </w:rPr>
              <w:t>甲</w:t>
            </w:r>
            <w:r>
              <w:rPr>
                <w:rFonts w:hint="eastAsia" w:ascii="宋体" w:hAnsi="宋体" w:cs="宋体"/>
                <w:szCs w:val="21"/>
                <w:highlight w:val="none"/>
              </w:rPr>
              <w:t>级资质</w:t>
            </w:r>
            <w:r>
              <w:rPr>
                <w:rFonts w:hint="eastAsia" w:ascii="宋体" w:hAnsi="宋体" w:cs="宋体"/>
                <w:szCs w:val="21"/>
                <w:highlight w:val="none"/>
                <w:lang w:eastAsia="zh-CN"/>
              </w:rPr>
              <w:t>。</w:t>
            </w:r>
          </w:p>
        </w:tc>
      </w:tr>
    </w:tbl>
    <w:p w14:paraId="4A76553D">
      <w:pPr>
        <w:rPr>
          <w:rFonts w:ascii="宋体" w:hAnsi="宋体" w:cs="宋体"/>
          <w:b/>
          <w:bCs/>
          <w:szCs w:val="21"/>
        </w:rPr>
      </w:pPr>
    </w:p>
    <w:p w14:paraId="0CB1E199">
      <w:pPr>
        <w:rPr>
          <w:rFonts w:hint="eastAsia" w:ascii="宋体" w:hAnsi="宋体" w:cs="宋体"/>
          <w:bCs/>
          <w:szCs w:val="21"/>
        </w:rPr>
      </w:pPr>
    </w:p>
    <w:p w14:paraId="4C65E7BA">
      <w:pPr>
        <w:keepNext/>
        <w:keepLines/>
        <w:spacing w:line="480" w:lineRule="exact"/>
        <w:jc w:val="center"/>
        <w:outlineLvl w:val="2"/>
        <w:rPr>
          <w:rFonts w:hint="eastAsia" w:ascii="宋体" w:hAnsi="宋体" w:cs="宋体"/>
          <w:b/>
          <w:szCs w:val="21"/>
        </w:rPr>
      </w:pPr>
      <w:r>
        <w:rPr>
          <w:rFonts w:hint="eastAsia" w:ascii="宋体" w:hAnsi="宋体" w:cs="宋体"/>
          <w:b/>
          <w:szCs w:val="21"/>
        </w:rPr>
        <w:t>附录2 资格审查条件(业绩最低要求)</w:t>
      </w:r>
      <w:bookmarkEnd w:id="3"/>
      <w:bookmarkEnd w:id="4"/>
      <w:bookmarkEnd w:id="5"/>
    </w:p>
    <w:tbl>
      <w:tblPr>
        <w:tblStyle w:val="5"/>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396"/>
      </w:tblGrid>
      <w:tr w14:paraId="6805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3" w:type="dxa"/>
            <w:noWrap w:val="0"/>
            <w:vAlign w:val="center"/>
          </w:tcPr>
          <w:p w14:paraId="644A35F9">
            <w:pPr>
              <w:jc w:val="center"/>
              <w:rPr>
                <w:rFonts w:hint="eastAsia" w:ascii="宋体" w:hAnsi="宋体" w:cs="宋体"/>
              </w:rPr>
            </w:pPr>
            <w:r>
              <w:rPr>
                <w:rFonts w:hint="eastAsia" w:ascii="宋体" w:hAnsi="宋体" w:cs="宋体"/>
                <w:b/>
                <w:bCs/>
                <w:szCs w:val="21"/>
              </w:rPr>
              <w:t>标段号</w:t>
            </w:r>
          </w:p>
        </w:tc>
        <w:tc>
          <w:tcPr>
            <w:tcW w:w="8396" w:type="dxa"/>
            <w:noWrap w:val="0"/>
            <w:vAlign w:val="center"/>
          </w:tcPr>
          <w:p w14:paraId="07FC39AF">
            <w:pPr>
              <w:spacing w:line="280" w:lineRule="exact"/>
              <w:jc w:val="center"/>
              <w:rPr>
                <w:rFonts w:hint="eastAsia" w:ascii="宋体" w:hAnsi="宋体" w:cs="宋体"/>
                <w:b/>
                <w:bCs/>
                <w:szCs w:val="21"/>
              </w:rPr>
            </w:pPr>
            <w:r>
              <w:rPr>
                <w:rFonts w:hint="eastAsia" w:ascii="宋体" w:hAnsi="宋体" w:cs="宋体"/>
                <w:b/>
                <w:bCs/>
                <w:szCs w:val="21"/>
              </w:rPr>
              <w:t>业绩要求</w:t>
            </w:r>
          </w:p>
        </w:tc>
      </w:tr>
      <w:tr w14:paraId="29B1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23" w:type="dxa"/>
            <w:noWrap w:val="0"/>
            <w:vAlign w:val="center"/>
          </w:tcPr>
          <w:p w14:paraId="11369437">
            <w:pPr>
              <w:jc w:val="center"/>
              <w:rPr>
                <w:rFonts w:hint="eastAsia" w:ascii="宋体" w:hAnsi="宋体" w:cs="宋体"/>
              </w:rPr>
            </w:pPr>
            <w:r>
              <w:rPr>
                <w:rFonts w:hint="eastAsia" w:ascii="宋体" w:hAnsi="宋体" w:cs="宋体"/>
              </w:rPr>
              <w:t>DL1</w:t>
            </w:r>
          </w:p>
        </w:tc>
        <w:tc>
          <w:tcPr>
            <w:tcW w:w="8396" w:type="dxa"/>
            <w:noWrap w:val="0"/>
            <w:vAlign w:val="center"/>
          </w:tcPr>
          <w:p w14:paraId="14182381">
            <w:pPr>
              <w:pStyle w:val="7"/>
              <w:spacing w:line="264" w:lineRule="auto"/>
              <w:ind w:firstLine="23" w:firstLineChars="11"/>
              <w:jc w:val="left"/>
              <w:rPr>
                <w:rFonts w:hint="eastAsia" w:hAnsi="宋体"/>
                <w:b/>
                <w:color w:val="auto"/>
                <w:kern w:val="2"/>
              </w:rPr>
            </w:pPr>
            <w:r>
              <w:rPr>
                <w:rFonts w:hint="eastAsia" w:hAnsi="宋体"/>
                <w:b/>
                <w:color w:val="auto"/>
                <w:kern w:val="2"/>
              </w:rPr>
              <w:t>业绩要求：</w:t>
            </w:r>
          </w:p>
          <w:p w14:paraId="33189DB8">
            <w:pPr>
              <w:snapToGrid w:val="0"/>
              <w:spacing w:line="288" w:lineRule="auto"/>
              <w:ind w:firstLine="518" w:firstLineChars="247"/>
              <w:rPr>
                <w:rFonts w:hint="eastAsia" w:ascii="宋体" w:hAnsi="宋体"/>
                <w:szCs w:val="21"/>
              </w:rPr>
            </w:pPr>
            <w:r>
              <w:rPr>
                <w:rFonts w:hint="eastAsia" w:ascii="宋体" w:hAnsi="宋体"/>
                <w:szCs w:val="21"/>
              </w:rPr>
              <w:t>1.设计业绩：</w:t>
            </w:r>
          </w:p>
          <w:p w14:paraId="23079686">
            <w:pPr>
              <w:snapToGrid w:val="0"/>
              <w:spacing w:line="288" w:lineRule="auto"/>
              <w:ind w:firstLine="518" w:firstLineChars="247"/>
              <w:rPr>
                <w:rFonts w:hint="eastAsia" w:ascii="宋体" w:hAnsi="宋体" w:cs="宋体"/>
                <w:szCs w:val="21"/>
              </w:rPr>
            </w:pPr>
            <w:r>
              <w:rPr>
                <w:rFonts w:hint="eastAsia" w:ascii="宋体" w:hAnsi="宋体" w:cs="宋体"/>
                <w:szCs w:val="21"/>
              </w:rPr>
              <w:t>近五年内（20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月1日至今，以</w:t>
            </w:r>
            <w:r>
              <w:rPr>
                <w:rFonts w:hint="eastAsia" w:ascii="宋体" w:hAnsi="宋体" w:cs="宋体"/>
                <w:szCs w:val="21"/>
                <w:highlight w:val="none"/>
              </w:rPr>
              <w:t>竣工时间</w:t>
            </w:r>
            <w:r>
              <w:rPr>
                <w:rFonts w:hint="eastAsia" w:ascii="宋体" w:hAnsi="宋体" w:cs="宋体"/>
                <w:szCs w:val="21"/>
              </w:rPr>
              <w:t>为准）</w:t>
            </w:r>
            <w:r>
              <w:rPr>
                <w:rFonts w:hint="eastAsia" w:ascii="宋体" w:hAnsi="宋体" w:cs="宋体"/>
                <w:szCs w:val="21"/>
                <w:lang w:val="en-US" w:eastAsia="zh-CN"/>
              </w:rPr>
              <w:t>至少</w:t>
            </w:r>
            <w:r>
              <w:rPr>
                <w:rFonts w:hint="eastAsia" w:ascii="宋体" w:hAnsi="宋体" w:cs="宋体"/>
                <w:szCs w:val="21"/>
              </w:rPr>
              <w:t>承担过1项220</w:t>
            </w:r>
            <w:r>
              <w:rPr>
                <w:rFonts w:hint="eastAsia" w:ascii="宋体" w:hAnsi="宋体" w:cs="宋体"/>
                <w:szCs w:val="21"/>
                <w:lang w:eastAsia="zh-CN"/>
              </w:rPr>
              <w:t>KV</w:t>
            </w:r>
            <w:r>
              <w:rPr>
                <w:rFonts w:hint="eastAsia" w:ascii="宋体" w:hAnsi="宋体" w:cs="宋体"/>
                <w:szCs w:val="21"/>
              </w:rPr>
              <w:t>及以上电压等级的电力工程施工图设计业绩。</w:t>
            </w:r>
          </w:p>
          <w:p w14:paraId="41D6C58D">
            <w:pPr>
              <w:snapToGrid w:val="0"/>
              <w:spacing w:line="288" w:lineRule="auto"/>
              <w:ind w:firstLine="518" w:firstLineChars="247"/>
              <w:rPr>
                <w:rFonts w:hint="eastAsia" w:ascii="宋体" w:hAnsi="宋体"/>
                <w:szCs w:val="21"/>
              </w:rPr>
            </w:pPr>
            <w:r>
              <w:rPr>
                <w:rFonts w:hint="eastAsia" w:ascii="宋体" w:hAnsi="宋体"/>
                <w:szCs w:val="21"/>
              </w:rPr>
              <w:t>2.施工业绩：</w:t>
            </w:r>
          </w:p>
          <w:p w14:paraId="0151633D">
            <w:pPr>
              <w:snapToGrid w:val="0"/>
              <w:spacing w:line="360" w:lineRule="exact"/>
              <w:ind w:firstLine="420" w:firstLineChars="200"/>
              <w:rPr>
                <w:rFonts w:hint="eastAsia" w:ascii="宋体" w:hAnsi="宋体" w:eastAsia="宋体" w:cs="宋体"/>
                <w:b/>
                <w:bCs/>
                <w:szCs w:val="21"/>
                <w:lang w:eastAsia="zh-CN"/>
              </w:rPr>
            </w:pPr>
            <w:r>
              <w:rPr>
                <w:rFonts w:hint="eastAsia" w:ascii="宋体" w:hAnsi="宋体" w:cs="宋体"/>
                <w:szCs w:val="21"/>
              </w:rPr>
              <w:t>近五年内（20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月1日至今，以竣工时间为准）</w:t>
            </w:r>
            <w:r>
              <w:rPr>
                <w:rFonts w:hint="eastAsia" w:ascii="宋体" w:hAnsi="宋体" w:cs="宋体"/>
                <w:szCs w:val="21"/>
                <w:lang w:val="en-US" w:eastAsia="zh-CN"/>
              </w:rPr>
              <w:t>至少</w:t>
            </w:r>
            <w:r>
              <w:rPr>
                <w:rFonts w:hint="eastAsia" w:ascii="宋体" w:hAnsi="宋体" w:cs="宋体"/>
                <w:szCs w:val="21"/>
              </w:rPr>
              <w:t>承担过1项220</w:t>
            </w:r>
            <w:r>
              <w:rPr>
                <w:rFonts w:hint="eastAsia" w:ascii="宋体" w:hAnsi="宋体" w:cs="宋体"/>
                <w:szCs w:val="21"/>
                <w:lang w:eastAsia="zh-CN"/>
              </w:rPr>
              <w:t>KV</w:t>
            </w:r>
            <w:r>
              <w:rPr>
                <w:rFonts w:hint="eastAsia" w:ascii="宋体" w:hAnsi="宋体" w:cs="宋体"/>
                <w:szCs w:val="21"/>
              </w:rPr>
              <w:t>及以上电压等级的电力工程施工业绩</w:t>
            </w:r>
            <w:r>
              <w:rPr>
                <w:rFonts w:hint="eastAsia" w:ascii="宋体" w:hAnsi="宋体" w:cs="宋体"/>
                <w:szCs w:val="21"/>
                <w:lang w:eastAsia="zh-CN"/>
              </w:rPr>
              <w:t>。</w:t>
            </w:r>
          </w:p>
        </w:tc>
      </w:tr>
      <w:tr w14:paraId="4F3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23" w:type="dxa"/>
            <w:noWrap w:val="0"/>
            <w:vAlign w:val="center"/>
          </w:tcPr>
          <w:p w14:paraId="1CA7999F">
            <w:pPr>
              <w:jc w:val="center"/>
              <w:rPr>
                <w:rFonts w:hint="eastAsia" w:ascii="宋体" w:hAnsi="宋体" w:eastAsia="宋体" w:cs="宋体"/>
                <w:lang w:eastAsia="zh-CN"/>
              </w:rPr>
            </w:pPr>
            <w:bookmarkStart w:id="7" w:name="_Toc525914597"/>
            <w:bookmarkStart w:id="8" w:name="_Toc6300151"/>
            <w:r>
              <w:rPr>
                <w:rFonts w:hint="eastAsia" w:ascii="宋体" w:hAnsi="宋体" w:cs="宋体"/>
              </w:rPr>
              <w:t>DL</w:t>
            </w:r>
            <w:r>
              <w:rPr>
                <w:rFonts w:hint="eastAsia" w:ascii="宋体" w:hAnsi="宋体" w:cs="宋体"/>
                <w:lang w:val="en-US" w:eastAsia="zh-CN"/>
              </w:rPr>
              <w:t>2</w:t>
            </w:r>
          </w:p>
        </w:tc>
        <w:tc>
          <w:tcPr>
            <w:tcW w:w="8396" w:type="dxa"/>
            <w:noWrap w:val="0"/>
            <w:vAlign w:val="center"/>
          </w:tcPr>
          <w:p w14:paraId="2FBCC96C">
            <w:pPr>
              <w:pStyle w:val="7"/>
              <w:spacing w:line="264" w:lineRule="auto"/>
              <w:ind w:firstLine="23" w:firstLineChars="11"/>
              <w:jc w:val="left"/>
              <w:rPr>
                <w:rFonts w:hint="eastAsia" w:hAnsi="宋体"/>
                <w:b/>
                <w:color w:val="auto"/>
                <w:kern w:val="2"/>
              </w:rPr>
            </w:pPr>
            <w:r>
              <w:rPr>
                <w:rFonts w:hint="eastAsia" w:hAnsi="宋体"/>
                <w:b/>
                <w:color w:val="auto"/>
                <w:kern w:val="2"/>
              </w:rPr>
              <w:t>业绩要求：</w:t>
            </w:r>
          </w:p>
          <w:p w14:paraId="5A6321B9">
            <w:pPr>
              <w:snapToGrid w:val="0"/>
              <w:spacing w:line="288" w:lineRule="auto"/>
              <w:ind w:firstLine="518" w:firstLineChars="247"/>
              <w:rPr>
                <w:rFonts w:hint="eastAsia" w:ascii="宋体" w:hAnsi="宋体"/>
                <w:szCs w:val="21"/>
              </w:rPr>
            </w:pPr>
            <w:r>
              <w:rPr>
                <w:rFonts w:hint="eastAsia" w:ascii="宋体" w:hAnsi="宋体"/>
                <w:szCs w:val="21"/>
              </w:rPr>
              <w:t>1.设计业绩：</w:t>
            </w:r>
          </w:p>
          <w:p w14:paraId="0F4A766B">
            <w:pPr>
              <w:snapToGrid w:val="0"/>
              <w:spacing w:line="288" w:lineRule="auto"/>
              <w:ind w:firstLine="518" w:firstLineChars="247"/>
              <w:rPr>
                <w:rFonts w:hint="eastAsia" w:ascii="宋体" w:hAnsi="宋体" w:cs="宋体"/>
                <w:szCs w:val="21"/>
              </w:rPr>
            </w:pPr>
            <w:r>
              <w:rPr>
                <w:rFonts w:hint="eastAsia" w:ascii="宋体" w:hAnsi="宋体" w:cs="宋体"/>
                <w:szCs w:val="21"/>
              </w:rPr>
              <w:t>近五年内（20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月1日至今，以竣工时间为准）</w:t>
            </w:r>
            <w:r>
              <w:rPr>
                <w:rFonts w:hint="eastAsia" w:ascii="宋体" w:hAnsi="宋体" w:cs="宋体"/>
                <w:szCs w:val="21"/>
                <w:lang w:val="en-US" w:eastAsia="zh-CN"/>
              </w:rPr>
              <w:t>至少</w:t>
            </w:r>
            <w:r>
              <w:rPr>
                <w:rFonts w:hint="eastAsia" w:ascii="宋体" w:hAnsi="宋体" w:cs="宋体"/>
                <w:szCs w:val="21"/>
              </w:rPr>
              <w:t>承担过1项</w:t>
            </w:r>
            <w:r>
              <w:rPr>
                <w:rFonts w:hint="eastAsia" w:hAnsi="宋体" w:cs="宋体"/>
                <w:kern w:val="0"/>
                <w:szCs w:val="21"/>
                <w:highlight w:val="none"/>
                <w:lang w:val="en-US" w:eastAsia="zh-CN"/>
              </w:rPr>
              <w:t>±800</w:t>
            </w:r>
            <w:r>
              <w:rPr>
                <w:rFonts w:hint="eastAsia" w:ascii="宋体" w:hAnsi="宋体" w:cs="宋体"/>
                <w:szCs w:val="21"/>
                <w:lang w:eastAsia="zh-CN"/>
              </w:rPr>
              <w:t>KV</w:t>
            </w:r>
            <w:r>
              <w:rPr>
                <w:rFonts w:hint="eastAsia" w:ascii="宋体" w:hAnsi="宋体" w:cs="宋体"/>
                <w:szCs w:val="21"/>
              </w:rPr>
              <w:t>及以上</w:t>
            </w:r>
            <w:r>
              <w:rPr>
                <w:rFonts w:hint="eastAsia" w:ascii="宋体" w:hAnsi="宋体" w:cs="宋体"/>
                <w:szCs w:val="21"/>
                <w:lang w:val="en-US" w:eastAsia="zh-CN"/>
              </w:rPr>
              <w:t>或1000</w:t>
            </w:r>
            <w:r>
              <w:rPr>
                <w:rFonts w:hint="eastAsia" w:ascii="宋体" w:hAnsi="宋体" w:cs="宋体"/>
                <w:szCs w:val="21"/>
                <w:lang w:eastAsia="zh-CN"/>
              </w:rPr>
              <w:t>KV</w:t>
            </w:r>
            <w:r>
              <w:rPr>
                <w:rFonts w:hint="eastAsia" w:ascii="宋体" w:hAnsi="宋体" w:cs="宋体"/>
                <w:szCs w:val="21"/>
                <w:lang w:val="en-US" w:eastAsia="zh-CN"/>
              </w:rPr>
              <w:t>及以上</w:t>
            </w:r>
            <w:r>
              <w:rPr>
                <w:rFonts w:hint="eastAsia" w:ascii="宋体" w:hAnsi="宋体" w:cs="宋体"/>
                <w:szCs w:val="21"/>
              </w:rPr>
              <w:t>电压等级的电力工程施工图设计业绩。</w:t>
            </w:r>
          </w:p>
          <w:p w14:paraId="47D5DB11">
            <w:pPr>
              <w:snapToGrid w:val="0"/>
              <w:spacing w:line="288" w:lineRule="auto"/>
              <w:ind w:firstLine="518" w:firstLineChars="247"/>
              <w:rPr>
                <w:rFonts w:hint="eastAsia" w:ascii="宋体" w:hAnsi="宋体"/>
                <w:szCs w:val="21"/>
              </w:rPr>
            </w:pPr>
            <w:r>
              <w:rPr>
                <w:rFonts w:hint="eastAsia" w:ascii="宋体" w:hAnsi="宋体"/>
                <w:szCs w:val="21"/>
              </w:rPr>
              <w:t>2.施工业绩：</w:t>
            </w:r>
          </w:p>
          <w:p w14:paraId="4F5080B6">
            <w:pPr>
              <w:snapToGrid w:val="0"/>
              <w:spacing w:line="360" w:lineRule="exact"/>
              <w:ind w:firstLine="420" w:firstLineChars="200"/>
              <w:rPr>
                <w:rFonts w:hint="eastAsia" w:ascii="宋体" w:hAnsi="宋体" w:cs="宋体"/>
                <w:szCs w:val="21"/>
              </w:rPr>
            </w:pPr>
            <w:r>
              <w:rPr>
                <w:rFonts w:hint="eastAsia" w:ascii="宋体" w:hAnsi="宋体" w:cs="宋体"/>
                <w:szCs w:val="21"/>
              </w:rPr>
              <w:t>近五年内（20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月1日至今，以竣工时间为准）</w:t>
            </w:r>
            <w:r>
              <w:rPr>
                <w:rFonts w:hint="eastAsia" w:ascii="宋体" w:hAnsi="宋体" w:cs="宋体"/>
                <w:szCs w:val="21"/>
                <w:lang w:val="en-US" w:eastAsia="zh-CN"/>
              </w:rPr>
              <w:t>至少</w:t>
            </w:r>
            <w:r>
              <w:rPr>
                <w:rFonts w:hint="eastAsia" w:ascii="宋体" w:hAnsi="宋体" w:cs="宋体"/>
                <w:szCs w:val="21"/>
              </w:rPr>
              <w:t>承担过1项</w:t>
            </w:r>
            <w:r>
              <w:rPr>
                <w:rFonts w:hint="eastAsia" w:hAnsi="宋体" w:cs="宋体"/>
                <w:kern w:val="0"/>
                <w:szCs w:val="21"/>
                <w:highlight w:val="none"/>
                <w:lang w:val="en-US" w:eastAsia="zh-CN"/>
              </w:rPr>
              <w:t>±800</w:t>
            </w:r>
            <w:r>
              <w:rPr>
                <w:rFonts w:hint="eastAsia" w:ascii="宋体" w:hAnsi="宋体" w:cs="宋体"/>
                <w:szCs w:val="21"/>
                <w:lang w:eastAsia="zh-CN"/>
              </w:rPr>
              <w:t>KV</w:t>
            </w:r>
            <w:r>
              <w:rPr>
                <w:rFonts w:hint="eastAsia" w:ascii="宋体" w:hAnsi="宋体" w:cs="宋体"/>
                <w:szCs w:val="21"/>
              </w:rPr>
              <w:t>及以上</w:t>
            </w:r>
            <w:r>
              <w:rPr>
                <w:rFonts w:hint="eastAsia" w:ascii="宋体" w:hAnsi="宋体" w:cs="宋体"/>
                <w:szCs w:val="21"/>
                <w:lang w:val="en-US" w:eastAsia="zh-CN"/>
              </w:rPr>
              <w:t>或1000</w:t>
            </w:r>
            <w:r>
              <w:rPr>
                <w:rFonts w:hint="eastAsia" w:ascii="宋体" w:hAnsi="宋体" w:cs="宋体"/>
                <w:szCs w:val="21"/>
                <w:lang w:eastAsia="zh-CN"/>
              </w:rPr>
              <w:t>KV</w:t>
            </w:r>
            <w:r>
              <w:rPr>
                <w:rFonts w:hint="eastAsia" w:ascii="宋体" w:hAnsi="宋体" w:cs="宋体"/>
                <w:szCs w:val="21"/>
                <w:lang w:val="en-US" w:eastAsia="zh-CN"/>
              </w:rPr>
              <w:t>及以上</w:t>
            </w:r>
            <w:r>
              <w:rPr>
                <w:rFonts w:hint="eastAsia" w:ascii="宋体" w:hAnsi="宋体" w:cs="宋体"/>
                <w:szCs w:val="21"/>
              </w:rPr>
              <w:t>电压等级的电力工程施工业绩</w:t>
            </w:r>
            <w:r>
              <w:rPr>
                <w:rFonts w:hint="eastAsia" w:ascii="宋体" w:hAnsi="宋体" w:cs="宋体"/>
                <w:szCs w:val="21"/>
                <w:lang w:eastAsia="zh-CN"/>
              </w:rPr>
              <w:t>。</w:t>
            </w:r>
          </w:p>
        </w:tc>
      </w:tr>
      <w:tr w14:paraId="2BA1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9819" w:type="dxa"/>
            <w:gridSpan w:val="2"/>
            <w:noWrap w:val="0"/>
            <w:vAlign w:val="center"/>
          </w:tcPr>
          <w:p w14:paraId="2B22E9C4">
            <w:pPr>
              <w:snapToGrid w:val="0"/>
              <w:spacing w:line="288" w:lineRule="auto"/>
              <w:ind w:firstLine="518" w:firstLineChars="247"/>
              <w:rPr>
                <w:rFonts w:hint="eastAsia" w:ascii="宋体" w:hAnsi="宋体"/>
                <w:szCs w:val="21"/>
              </w:rPr>
            </w:pPr>
            <w:r>
              <w:rPr>
                <w:rFonts w:hint="eastAsia" w:ascii="宋体" w:hAnsi="宋体"/>
                <w:szCs w:val="21"/>
              </w:rPr>
              <w:t>注：</w:t>
            </w:r>
          </w:p>
          <w:p w14:paraId="56F782E6">
            <w:pPr>
              <w:snapToGrid w:val="0"/>
              <w:spacing w:line="288" w:lineRule="auto"/>
              <w:ind w:firstLine="518" w:firstLineChars="247"/>
              <w:rPr>
                <w:rFonts w:hint="eastAsia" w:ascii="宋体" w:hAnsi="宋体"/>
                <w:szCs w:val="21"/>
              </w:rPr>
            </w:pPr>
            <w:r>
              <w:rPr>
                <w:rFonts w:hint="eastAsia" w:ascii="宋体" w:hAnsi="宋体"/>
                <w:szCs w:val="21"/>
              </w:rPr>
              <w:t>(1）设计业绩包括单独设计业绩或设计施工总承包中相应设计业绩；</w:t>
            </w:r>
          </w:p>
          <w:p w14:paraId="317B5529">
            <w:pPr>
              <w:snapToGrid w:val="0"/>
              <w:spacing w:line="288" w:lineRule="auto"/>
              <w:ind w:firstLine="518" w:firstLineChars="247"/>
              <w:rPr>
                <w:rFonts w:hint="eastAsia" w:ascii="宋体" w:hAnsi="宋体" w:eastAsia="宋体" w:cs="Times New Roman"/>
                <w:szCs w:val="21"/>
              </w:rPr>
            </w:pPr>
            <w:r>
              <w:rPr>
                <w:rFonts w:hint="eastAsia" w:ascii="宋体" w:hAnsi="宋体" w:eastAsia="宋体" w:cs="Times New Roman"/>
                <w:szCs w:val="21"/>
              </w:rPr>
              <w:t>(2）施工业绩包括单独施工业绩或设计施工总承包中相应施工业绩；</w:t>
            </w:r>
          </w:p>
          <w:p w14:paraId="491DC9A0">
            <w:pPr>
              <w:snapToGrid w:val="0"/>
              <w:spacing w:line="288" w:lineRule="auto"/>
              <w:ind w:firstLine="518" w:firstLineChars="247"/>
              <w:rPr>
                <w:rFonts w:hint="default" w:ascii="宋体" w:hAnsi="宋体" w:eastAsia="宋体" w:cs="宋体"/>
                <w:szCs w:val="21"/>
                <w:lang w:val="en-US" w:eastAsia="zh-CN"/>
              </w:rPr>
            </w:pPr>
            <w:r>
              <w:rPr>
                <w:rFonts w:hint="eastAsia" w:ascii="宋体" w:hAnsi="宋体" w:eastAsia="宋体" w:cs="Times New Roman"/>
                <w:szCs w:val="21"/>
              </w:rPr>
              <w:t>(3）以联合体形式投标的，</w:t>
            </w:r>
            <w:r>
              <w:rPr>
                <w:rFonts w:hint="eastAsia" w:ascii="宋体" w:hAnsi="宋体" w:eastAsia="宋体" w:cs="Times New Roman"/>
                <w:szCs w:val="21"/>
                <w:lang w:val="en-US" w:eastAsia="zh-CN"/>
              </w:rPr>
              <w:t>施工业绩由</w:t>
            </w:r>
            <w:r>
              <w:rPr>
                <w:rFonts w:hint="eastAsia" w:ascii="宋体" w:hAnsi="宋体" w:eastAsia="宋体" w:cs="Times New Roman"/>
                <w:szCs w:val="21"/>
              </w:rPr>
              <w:t>联合体</w:t>
            </w:r>
            <w:r>
              <w:rPr>
                <w:rFonts w:hint="eastAsia" w:ascii="宋体" w:hAnsi="宋体" w:eastAsia="宋体" w:cs="Times New Roman"/>
                <w:szCs w:val="21"/>
                <w:lang w:val="en-US" w:eastAsia="zh-CN"/>
              </w:rPr>
              <w:t>牵头人提供，设计业绩由联合体成员提供</w:t>
            </w:r>
            <w:r>
              <w:rPr>
                <w:rFonts w:hint="eastAsia" w:ascii="宋体" w:hAnsi="宋体" w:eastAsia="宋体" w:cs="Times New Roman"/>
                <w:szCs w:val="21"/>
                <w:lang w:eastAsia="zh-CN"/>
              </w:rPr>
              <w:t>。</w:t>
            </w:r>
          </w:p>
        </w:tc>
      </w:tr>
    </w:tbl>
    <w:p w14:paraId="0CFC4449">
      <w:pPr>
        <w:keepNext/>
        <w:keepLines/>
        <w:spacing w:line="480" w:lineRule="exact"/>
        <w:jc w:val="center"/>
        <w:outlineLvl w:val="2"/>
        <w:rPr>
          <w:rFonts w:hint="eastAsia" w:ascii="宋体" w:hAnsi="宋体" w:cs="宋体"/>
          <w:b/>
          <w:szCs w:val="21"/>
        </w:rPr>
      </w:pPr>
      <w:r>
        <w:rPr>
          <w:rFonts w:hint="eastAsia" w:ascii="宋体" w:hAnsi="宋体" w:cs="宋体"/>
          <w:b/>
          <w:szCs w:val="21"/>
        </w:rPr>
        <w:t>附录3 资格审查条件(信誉最低要求)</w:t>
      </w:r>
      <w:bookmarkEnd w:id="6"/>
      <w:bookmarkEnd w:id="7"/>
      <w:bookmarkEnd w:id="8"/>
    </w:p>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258"/>
      </w:tblGrid>
      <w:tr w14:paraId="4BCF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97" w:type="dxa"/>
            <w:noWrap w:val="0"/>
            <w:vAlign w:val="center"/>
          </w:tcPr>
          <w:p w14:paraId="54233B39">
            <w:pPr>
              <w:jc w:val="center"/>
              <w:rPr>
                <w:rFonts w:hint="eastAsia" w:ascii="宋体" w:hAnsi="宋体" w:cs="宋体"/>
                <w:szCs w:val="21"/>
              </w:rPr>
            </w:pPr>
            <w:r>
              <w:rPr>
                <w:rFonts w:hint="eastAsia" w:ascii="宋体" w:hAnsi="宋体" w:cs="宋体"/>
                <w:b/>
                <w:bCs/>
                <w:szCs w:val="21"/>
              </w:rPr>
              <w:t>标段号</w:t>
            </w:r>
          </w:p>
        </w:tc>
        <w:tc>
          <w:tcPr>
            <w:tcW w:w="8258" w:type="dxa"/>
            <w:noWrap w:val="0"/>
            <w:vAlign w:val="top"/>
          </w:tcPr>
          <w:p w14:paraId="4B1F08D2">
            <w:pPr>
              <w:spacing w:line="280" w:lineRule="exact"/>
              <w:jc w:val="center"/>
              <w:rPr>
                <w:rFonts w:hint="eastAsia" w:ascii="宋体" w:hAnsi="宋体" w:cs="宋体"/>
                <w:b/>
                <w:bCs/>
                <w:szCs w:val="21"/>
              </w:rPr>
            </w:pPr>
            <w:r>
              <w:rPr>
                <w:rFonts w:hint="eastAsia" w:ascii="宋体" w:hAnsi="宋体" w:cs="宋体"/>
                <w:b/>
                <w:bCs/>
                <w:szCs w:val="21"/>
              </w:rPr>
              <w:t>信誉要求</w:t>
            </w:r>
          </w:p>
        </w:tc>
      </w:tr>
      <w:tr w14:paraId="7E27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597" w:type="dxa"/>
            <w:noWrap w:val="0"/>
            <w:vAlign w:val="center"/>
          </w:tcPr>
          <w:p w14:paraId="669D3B55">
            <w:pPr>
              <w:jc w:val="center"/>
              <w:rPr>
                <w:rFonts w:hint="eastAsia" w:ascii="宋体" w:hAnsi="宋体" w:eastAsia="宋体" w:cs="宋体"/>
                <w:szCs w:val="21"/>
                <w:lang w:val="en-US" w:eastAsia="zh-CN"/>
              </w:rPr>
            </w:pPr>
            <w:r>
              <w:rPr>
                <w:rFonts w:hint="eastAsia" w:ascii="宋体" w:hAnsi="宋体" w:cs="宋体"/>
              </w:rPr>
              <w:t>DL1</w:t>
            </w:r>
            <w:r>
              <w:rPr>
                <w:rFonts w:hint="eastAsia" w:ascii="宋体" w:hAnsi="宋体" w:cs="宋体"/>
                <w:lang w:val="en-US" w:eastAsia="zh-CN"/>
              </w:rPr>
              <w:t>/</w:t>
            </w:r>
            <w:r>
              <w:rPr>
                <w:rFonts w:hint="eastAsia" w:ascii="宋体" w:hAnsi="宋体" w:cs="宋体"/>
              </w:rPr>
              <w:t>DL</w:t>
            </w:r>
            <w:r>
              <w:rPr>
                <w:rFonts w:hint="eastAsia" w:ascii="宋体" w:hAnsi="宋体" w:cs="宋体"/>
                <w:lang w:val="en-US" w:eastAsia="zh-CN"/>
              </w:rPr>
              <w:t>2</w:t>
            </w:r>
          </w:p>
        </w:tc>
        <w:tc>
          <w:tcPr>
            <w:tcW w:w="8258" w:type="dxa"/>
            <w:noWrap w:val="0"/>
            <w:vAlign w:val="center"/>
          </w:tcPr>
          <w:p w14:paraId="3F02B17D">
            <w:pPr>
              <w:spacing w:line="360" w:lineRule="exact"/>
              <w:ind w:firstLine="420" w:firstLineChars="200"/>
              <w:rPr>
                <w:rFonts w:hint="eastAsia" w:ascii="宋体" w:hAnsi="宋体" w:cs="宋体"/>
                <w:szCs w:val="21"/>
              </w:rPr>
            </w:pPr>
            <w:r>
              <w:rPr>
                <w:rFonts w:hint="eastAsia" w:ascii="宋体" w:hAnsi="宋体" w:cs="宋体"/>
                <w:szCs w:val="21"/>
              </w:rPr>
              <w:t>投标人在近1年（202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月1日至今）中不曾在电力迁改工程合同中违约而被驱逐或因投标人自身的原因而使电力迁改工程合同被解除。</w:t>
            </w:r>
          </w:p>
        </w:tc>
      </w:tr>
    </w:tbl>
    <w:p w14:paraId="12DE6D49">
      <w:pPr>
        <w:keepNext/>
        <w:keepLines/>
        <w:spacing w:line="480" w:lineRule="exact"/>
        <w:jc w:val="center"/>
        <w:outlineLvl w:val="2"/>
        <w:rPr>
          <w:rFonts w:hint="eastAsia" w:ascii="宋体" w:hAnsi="宋体" w:cs="宋体"/>
          <w:b/>
          <w:szCs w:val="21"/>
        </w:rPr>
      </w:pPr>
      <w:bookmarkStart w:id="9" w:name="_Toc6300152"/>
      <w:bookmarkStart w:id="10" w:name="_Toc525914598"/>
      <w:bookmarkStart w:id="11" w:name="_Toc448050343"/>
      <w:r>
        <w:rPr>
          <w:rFonts w:ascii="宋体" w:hAnsi="宋体" w:cs="宋体"/>
          <w:bCs/>
          <w:szCs w:val="21"/>
        </w:rPr>
        <w:br w:type="page"/>
      </w:r>
      <w:r>
        <w:rPr>
          <w:rFonts w:hint="eastAsia" w:ascii="宋体" w:hAnsi="宋体" w:cs="宋体"/>
          <w:b/>
          <w:szCs w:val="21"/>
        </w:rPr>
        <w:t>附录4 资格审查条件(人员最低要求)</w:t>
      </w:r>
      <w:bookmarkEnd w:id="9"/>
      <w:bookmarkEnd w:id="10"/>
      <w:bookmarkEnd w:id="11"/>
    </w:p>
    <w:tbl>
      <w:tblPr>
        <w:tblStyle w:val="5"/>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86"/>
        <w:gridCol w:w="803"/>
        <w:gridCol w:w="6673"/>
        <w:gridCol w:w="1512"/>
      </w:tblGrid>
      <w:tr w14:paraId="2800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9" w:type="dxa"/>
            <w:noWrap w:val="0"/>
            <w:vAlign w:val="center"/>
          </w:tcPr>
          <w:p w14:paraId="0B392BB0">
            <w:pPr>
              <w:spacing w:line="280" w:lineRule="exact"/>
              <w:jc w:val="center"/>
              <w:rPr>
                <w:rFonts w:hint="eastAsia" w:ascii="宋体" w:hAnsi="宋体" w:cs="宋体"/>
                <w:b/>
                <w:bCs/>
                <w:szCs w:val="21"/>
              </w:rPr>
            </w:pPr>
            <w:r>
              <w:rPr>
                <w:rFonts w:hint="eastAsia" w:ascii="宋体" w:hAnsi="宋体" w:cs="宋体"/>
                <w:b/>
                <w:bCs/>
                <w:szCs w:val="21"/>
              </w:rPr>
              <w:t>标段号</w:t>
            </w:r>
          </w:p>
        </w:tc>
        <w:tc>
          <w:tcPr>
            <w:tcW w:w="686" w:type="dxa"/>
            <w:noWrap w:val="0"/>
            <w:vAlign w:val="center"/>
          </w:tcPr>
          <w:p w14:paraId="0D305EC9">
            <w:pPr>
              <w:spacing w:line="280" w:lineRule="exact"/>
              <w:jc w:val="center"/>
              <w:rPr>
                <w:rFonts w:hint="eastAsia" w:ascii="宋体" w:hAnsi="宋体" w:cs="宋体"/>
                <w:b/>
                <w:bCs/>
                <w:szCs w:val="21"/>
              </w:rPr>
            </w:pPr>
            <w:r>
              <w:rPr>
                <w:rFonts w:hint="eastAsia" w:ascii="宋体" w:hAnsi="宋体" w:cs="宋体"/>
                <w:b/>
                <w:bCs/>
                <w:szCs w:val="21"/>
              </w:rPr>
              <w:t>人员</w:t>
            </w:r>
          </w:p>
        </w:tc>
        <w:tc>
          <w:tcPr>
            <w:tcW w:w="803" w:type="dxa"/>
            <w:noWrap w:val="0"/>
            <w:vAlign w:val="center"/>
          </w:tcPr>
          <w:p w14:paraId="3407278D">
            <w:pPr>
              <w:spacing w:line="280" w:lineRule="exact"/>
              <w:jc w:val="center"/>
              <w:rPr>
                <w:rFonts w:hint="eastAsia" w:ascii="宋体" w:hAnsi="宋体" w:cs="宋体"/>
                <w:b/>
                <w:bCs/>
                <w:szCs w:val="21"/>
              </w:rPr>
            </w:pPr>
            <w:r>
              <w:rPr>
                <w:rFonts w:hint="eastAsia" w:ascii="宋体" w:hAnsi="宋体" w:cs="宋体"/>
                <w:b/>
                <w:bCs/>
                <w:szCs w:val="21"/>
              </w:rPr>
              <w:t>数量</w:t>
            </w:r>
          </w:p>
        </w:tc>
        <w:tc>
          <w:tcPr>
            <w:tcW w:w="6673" w:type="dxa"/>
            <w:noWrap w:val="0"/>
            <w:vAlign w:val="center"/>
          </w:tcPr>
          <w:p w14:paraId="237D7607">
            <w:pPr>
              <w:snapToGrid w:val="0"/>
              <w:jc w:val="center"/>
              <w:rPr>
                <w:rFonts w:hint="eastAsia" w:ascii="宋体" w:hAnsi="宋体" w:cs="宋体"/>
                <w:b/>
                <w:bCs/>
                <w:szCs w:val="21"/>
              </w:rPr>
            </w:pPr>
            <w:r>
              <w:rPr>
                <w:rFonts w:hint="eastAsia" w:ascii="宋体" w:hAnsi="宋体" w:cs="宋体"/>
                <w:b/>
                <w:bCs/>
                <w:szCs w:val="21"/>
              </w:rPr>
              <w:t>资格要求</w:t>
            </w:r>
          </w:p>
        </w:tc>
        <w:tc>
          <w:tcPr>
            <w:tcW w:w="1512" w:type="dxa"/>
            <w:noWrap w:val="0"/>
            <w:vAlign w:val="center"/>
          </w:tcPr>
          <w:p w14:paraId="3465DF02">
            <w:pPr>
              <w:snapToGrid w:val="0"/>
              <w:jc w:val="center"/>
              <w:rPr>
                <w:rFonts w:hint="eastAsia" w:ascii="宋体" w:hAnsi="宋体" w:cs="宋体"/>
                <w:b/>
                <w:bCs/>
                <w:szCs w:val="21"/>
              </w:rPr>
            </w:pPr>
            <w:r>
              <w:rPr>
                <w:rFonts w:hint="eastAsia" w:ascii="宋体" w:hAnsi="宋体" w:cs="宋体"/>
                <w:b/>
                <w:bCs/>
                <w:szCs w:val="21"/>
              </w:rPr>
              <w:t>备注</w:t>
            </w:r>
          </w:p>
        </w:tc>
      </w:tr>
      <w:tr w14:paraId="26BA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719" w:type="dxa"/>
            <w:vMerge w:val="restart"/>
            <w:noWrap w:val="0"/>
            <w:vAlign w:val="center"/>
          </w:tcPr>
          <w:p w14:paraId="06BA6BC8">
            <w:pPr>
              <w:spacing w:line="360" w:lineRule="exact"/>
              <w:jc w:val="center"/>
              <w:rPr>
                <w:rFonts w:hint="eastAsia" w:ascii="宋体" w:hAnsi="宋体" w:cs="宋体"/>
                <w:szCs w:val="21"/>
              </w:rPr>
            </w:pPr>
            <w:r>
              <w:rPr>
                <w:rFonts w:hint="eastAsia" w:ascii="宋体" w:hAnsi="宋体" w:cs="宋体"/>
                <w:szCs w:val="21"/>
              </w:rPr>
              <w:t>DL1</w:t>
            </w:r>
          </w:p>
        </w:tc>
        <w:tc>
          <w:tcPr>
            <w:tcW w:w="686" w:type="dxa"/>
            <w:noWrap w:val="0"/>
            <w:vAlign w:val="center"/>
          </w:tcPr>
          <w:p w14:paraId="21A7B14A">
            <w:pPr>
              <w:spacing w:line="360" w:lineRule="exact"/>
              <w:jc w:val="center"/>
              <w:rPr>
                <w:rFonts w:hint="eastAsia" w:ascii="宋体" w:hAnsi="宋体" w:cs="宋体"/>
                <w:szCs w:val="21"/>
              </w:rPr>
            </w:pPr>
            <w:r>
              <w:rPr>
                <w:rFonts w:hint="eastAsia" w:ascii="宋体" w:hAnsi="宋体" w:cs="宋体"/>
                <w:szCs w:val="21"/>
              </w:rPr>
              <w:t>项目经理</w:t>
            </w:r>
          </w:p>
        </w:tc>
        <w:tc>
          <w:tcPr>
            <w:tcW w:w="803" w:type="dxa"/>
            <w:noWrap w:val="0"/>
            <w:vAlign w:val="center"/>
          </w:tcPr>
          <w:p w14:paraId="643C39C1">
            <w:pPr>
              <w:spacing w:line="360" w:lineRule="exact"/>
              <w:jc w:val="center"/>
              <w:rPr>
                <w:rFonts w:hint="eastAsia" w:ascii="宋体" w:hAnsi="宋体" w:cs="宋体"/>
                <w:szCs w:val="21"/>
              </w:rPr>
            </w:pPr>
            <w:r>
              <w:rPr>
                <w:rFonts w:hint="eastAsia" w:ascii="宋体" w:hAnsi="宋体" w:cs="宋体"/>
                <w:szCs w:val="21"/>
              </w:rPr>
              <w:t>1</w:t>
            </w:r>
          </w:p>
        </w:tc>
        <w:tc>
          <w:tcPr>
            <w:tcW w:w="6673" w:type="dxa"/>
            <w:noWrap w:val="0"/>
            <w:vAlign w:val="center"/>
          </w:tcPr>
          <w:p w14:paraId="20B3781D">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具有</w:t>
            </w:r>
            <w:r>
              <w:rPr>
                <w:rFonts w:hint="eastAsia" w:ascii="宋体" w:hAnsi="宋体" w:cs="宋体"/>
                <w:szCs w:val="21"/>
                <w:highlight w:val="none"/>
                <w:lang w:val="en-US" w:eastAsia="zh-CN"/>
              </w:rPr>
              <w:t>一级建造师注册证书</w:t>
            </w:r>
            <w:r>
              <w:rPr>
                <w:rFonts w:hint="eastAsia" w:ascii="宋体" w:hAnsi="宋体" w:cs="宋体"/>
                <w:szCs w:val="21"/>
                <w:highlight w:val="none"/>
              </w:rPr>
              <w:t>(机电工程专业) ，具有住房和城乡建设行政主管部门颁发的《安全生产考核合格证书》(B 类)(单位名称与投标人名称一致) 。</w:t>
            </w:r>
          </w:p>
          <w:p w14:paraId="347C738B">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近5年(20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月1日至今，以竣工时间为准)中至少担任过1项220</w:t>
            </w:r>
            <w:r>
              <w:rPr>
                <w:rFonts w:hint="eastAsia" w:ascii="宋体" w:hAnsi="宋体" w:cs="宋体"/>
                <w:szCs w:val="21"/>
                <w:highlight w:val="none"/>
                <w:lang w:eastAsia="zh-CN"/>
              </w:rPr>
              <w:t>KV</w:t>
            </w:r>
            <w:r>
              <w:rPr>
                <w:rFonts w:hint="eastAsia" w:ascii="宋体" w:hAnsi="宋体" w:cs="宋体"/>
                <w:szCs w:val="21"/>
                <w:highlight w:val="none"/>
              </w:rPr>
              <w:t>或以上电压等级的电力工程施工的项目经理或</w:t>
            </w:r>
            <w:r>
              <w:rPr>
                <w:rFonts w:hint="eastAsia" w:ascii="宋体" w:hAnsi="宋体" w:cs="宋体"/>
                <w:szCs w:val="21"/>
                <w:highlight w:val="none"/>
                <w:lang w:val="en-US" w:eastAsia="zh-CN"/>
              </w:rPr>
              <w:t>项目负责人</w:t>
            </w:r>
            <w:r>
              <w:rPr>
                <w:rFonts w:hint="eastAsia" w:ascii="宋体" w:hAnsi="宋体" w:cs="宋体"/>
                <w:szCs w:val="21"/>
                <w:highlight w:val="none"/>
              </w:rPr>
              <w:t>。</w:t>
            </w:r>
          </w:p>
          <w:p w14:paraId="477F7D4F">
            <w:pPr>
              <w:spacing w:before="120" w:beforeLines="50"/>
              <w:jc w:val="left"/>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项目经理的一级建造师</w:t>
            </w:r>
            <w:r>
              <w:rPr>
                <w:rFonts w:hint="eastAsia" w:ascii="宋体" w:hAnsi="宋体" w:cs="宋体"/>
                <w:szCs w:val="21"/>
                <w:highlight w:val="none"/>
                <w:lang w:val="en-US" w:eastAsia="zh-CN"/>
              </w:rPr>
              <w:t>注册</w:t>
            </w:r>
            <w:r>
              <w:rPr>
                <w:rFonts w:hint="eastAsia" w:ascii="宋体" w:hAnsi="宋体" w:cs="宋体"/>
                <w:szCs w:val="21"/>
                <w:highlight w:val="none"/>
              </w:rPr>
              <w:t>证书的注册单位名称和安全生产考核合格证书的填报单位名称须与投标人单位或联合体牵头人名称一致。</w:t>
            </w:r>
          </w:p>
          <w:p w14:paraId="75F40B30">
            <w:pPr>
              <w:spacing w:line="360" w:lineRule="exact"/>
              <w:ind w:firstLine="420" w:firstLineChars="200"/>
              <w:rPr>
                <w:rFonts w:hint="eastAsia" w:ascii="宋体" w:hAnsi="宋体" w:cs="宋体"/>
                <w:spacing w:val="15"/>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以联合体形式投标的，项目经理必须是联合体牵头人单位人员。</w:t>
            </w:r>
          </w:p>
        </w:tc>
        <w:tc>
          <w:tcPr>
            <w:tcW w:w="1512" w:type="dxa"/>
            <w:noWrap w:val="0"/>
            <w:vAlign w:val="center"/>
          </w:tcPr>
          <w:p w14:paraId="49FE32DC">
            <w:pPr>
              <w:spacing w:line="360" w:lineRule="exact"/>
              <w:jc w:val="left"/>
              <w:rPr>
                <w:rFonts w:hint="eastAsia" w:ascii="宋体" w:hAnsi="宋体" w:cs="宋体"/>
                <w:spacing w:val="15"/>
                <w:szCs w:val="21"/>
              </w:rPr>
            </w:pPr>
            <w:r>
              <w:rPr>
                <w:rFonts w:hint="eastAsia" w:ascii="宋体" w:hAnsi="宋体" w:cs="宋体"/>
                <w:kern w:val="0"/>
                <w:szCs w:val="21"/>
              </w:rPr>
              <w:t>目前未在其他项目上任职，或虽在其他项目上任职但本项目中标后能够从其他项目撤离，并能在本项目履约。</w:t>
            </w:r>
          </w:p>
        </w:tc>
      </w:tr>
      <w:tr w14:paraId="4FBC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19" w:type="dxa"/>
            <w:vMerge w:val="continue"/>
            <w:noWrap w:val="0"/>
            <w:vAlign w:val="center"/>
          </w:tcPr>
          <w:p w14:paraId="4070FCAF">
            <w:pPr>
              <w:spacing w:line="360" w:lineRule="exact"/>
              <w:jc w:val="center"/>
              <w:rPr>
                <w:rFonts w:hint="eastAsia" w:ascii="宋体" w:hAnsi="宋体" w:cs="宋体"/>
                <w:szCs w:val="21"/>
              </w:rPr>
            </w:pPr>
          </w:p>
        </w:tc>
        <w:tc>
          <w:tcPr>
            <w:tcW w:w="686" w:type="dxa"/>
            <w:noWrap w:val="0"/>
            <w:vAlign w:val="center"/>
          </w:tcPr>
          <w:p w14:paraId="49432C88">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设计负责人</w:t>
            </w:r>
          </w:p>
        </w:tc>
        <w:tc>
          <w:tcPr>
            <w:tcW w:w="803" w:type="dxa"/>
            <w:noWrap w:val="0"/>
            <w:vAlign w:val="center"/>
          </w:tcPr>
          <w:p w14:paraId="443B682F">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673" w:type="dxa"/>
            <w:noWrap w:val="0"/>
            <w:vAlign w:val="center"/>
          </w:tcPr>
          <w:p w14:paraId="4C9AE0A4">
            <w:pPr>
              <w:spacing w:line="360" w:lineRule="exact"/>
              <w:ind w:firstLine="420" w:firstLineChars="200"/>
              <w:rPr>
                <w:rFonts w:hint="eastAsia" w:ascii="宋体" w:hAnsi="宋体"/>
                <w:szCs w:val="21"/>
              </w:rPr>
            </w:pPr>
            <w:r>
              <w:rPr>
                <w:rFonts w:hint="eastAsia" w:ascii="宋体" w:hAnsi="宋体"/>
                <w:szCs w:val="21"/>
              </w:rPr>
              <w:t>高级工程师；近</w:t>
            </w:r>
            <w:r>
              <w:rPr>
                <w:rFonts w:hint="eastAsia" w:ascii="宋体" w:hAnsi="宋体"/>
                <w:szCs w:val="21"/>
                <w:lang w:val="en-US" w:eastAsia="zh-CN"/>
              </w:rPr>
              <w:t>5</w:t>
            </w:r>
            <w:r>
              <w:rPr>
                <w:rFonts w:hint="eastAsia" w:ascii="宋体" w:hAnsi="宋体"/>
                <w:szCs w:val="21"/>
              </w:rPr>
              <w:t>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月1日至今，以竣工时间为准），至少担任过1项220</w:t>
            </w:r>
            <w:r>
              <w:rPr>
                <w:rFonts w:hint="eastAsia" w:ascii="宋体" w:hAnsi="宋体"/>
                <w:szCs w:val="21"/>
                <w:lang w:eastAsia="zh-CN"/>
              </w:rPr>
              <w:t>KV</w:t>
            </w:r>
            <w:r>
              <w:rPr>
                <w:rFonts w:hint="eastAsia" w:ascii="宋体" w:hAnsi="宋体"/>
                <w:szCs w:val="21"/>
              </w:rPr>
              <w:t>及以上电压等级的电力工程施工图设计项目的设计负责人或项目负责人。</w:t>
            </w:r>
          </w:p>
          <w:p w14:paraId="258F31DA">
            <w:pPr>
              <w:spacing w:line="360" w:lineRule="exact"/>
              <w:rPr>
                <w:rFonts w:hint="eastAsia" w:ascii="宋体" w:hAnsi="宋体" w:cs="宋体"/>
                <w:szCs w:val="21"/>
              </w:rPr>
            </w:pPr>
            <w:r>
              <w:rPr>
                <w:rFonts w:hint="eastAsia" w:ascii="宋体" w:hAnsi="宋体" w:cs="宋体"/>
                <w:szCs w:val="21"/>
              </w:rPr>
              <w:t>注：</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以联合体形式投标的，</w:t>
            </w:r>
            <w:r>
              <w:rPr>
                <w:rFonts w:hint="eastAsia" w:ascii="宋体" w:hAnsi="宋体" w:cs="宋体"/>
                <w:szCs w:val="21"/>
                <w:lang w:val="en-US" w:eastAsia="zh-CN"/>
              </w:rPr>
              <w:t>设计负责人</w:t>
            </w:r>
            <w:r>
              <w:rPr>
                <w:rFonts w:hint="eastAsia" w:ascii="宋体" w:hAnsi="宋体" w:cs="宋体"/>
                <w:szCs w:val="21"/>
              </w:rPr>
              <w:t>必须是联合体</w:t>
            </w:r>
            <w:r>
              <w:rPr>
                <w:rFonts w:hint="eastAsia" w:ascii="宋体" w:hAnsi="宋体" w:cs="宋体"/>
                <w:szCs w:val="21"/>
                <w:lang w:val="en-US" w:eastAsia="zh-CN"/>
              </w:rPr>
              <w:t>成员</w:t>
            </w:r>
            <w:r>
              <w:rPr>
                <w:rFonts w:hint="eastAsia" w:ascii="宋体" w:hAnsi="宋体" w:cs="宋体"/>
                <w:szCs w:val="21"/>
              </w:rPr>
              <w:t>单位人员。</w:t>
            </w:r>
          </w:p>
        </w:tc>
        <w:tc>
          <w:tcPr>
            <w:tcW w:w="1512" w:type="dxa"/>
            <w:noWrap w:val="0"/>
            <w:vAlign w:val="center"/>
          </w:tcPr>
          <w:p w14:paraId="106B67BB">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无</w:t>
            </w:r>
          </w:p>
        </w:tc>
      </w:tr>
      <w:tr w14:paraId="483B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719" w:type="dxa"/>
            <w:vMerge w:val="restart"/>
            <w:noWrap w:val="0"/>
            <w:vAlign w:val="center"/>
          </w:tcPr>
          <w:p w14:paraId="0DE97E0A">
            <w:pPr>
              <w:spacing w:line="360" w:lineRule="exact"/>
              <w:jc w:val="center"/>
              <w:rPr>
                <w:rFonts w:hint="eastAsia" w:ascii="宋体" w:hAnsi="宋体" w:eastAsia="宋体" w:cs="宋体"/>
                <w:szCs w:val="21"/>
                <w:lang w:eastAsia="zh-CN"/>
              </w:rPr>
            </w:pPr>
            <w:r>
              <w:rPr>
                <w:rFonts w:hint="eastAsia" w:ascii="宋体" w:hAnsi="宋体" w:cs="宋体"/>
                <w:szCs w:val="21"/>
              </w:rPr>
              <w:t>DL</w:t>
            </w:r>
            <w:r>
              <w:rPr>
                <w:rFonts w:hint="eastAsia" w:ascii="宋体" w:hAnsi="宋体" w:cs="宋体"/>
                <w:szCs w:val="21"/>
                <w:lang w:val="en-US" w:eastAsia="zh-CN"/>
              </w:rPr>
              <w:t>2</w:t>
            </w:r>
          </w:p>
        </w:tc>
        <w:tc>
          <w:tcPr>
            <w:tcW w:w="686" w:type="dxa"/>
            <w:noWrap w:val="0"/>
            <w:vAlign w:val="center"/>
          </w:tcPr>
          <w:p w14:paraId="6A57C21C">
            <w:pPr>
              <w:spacing w:line="360" w:lineRule="exact"/>
              <w:jc w:val="center"/>
              <w:rPr>
                <w:rFonts w:hint="eastAsia" w:ascii="宋体" w:hAnsi="宋体" w:cs="宋体"/>
                <w:szCs w:val="21"/>
              </w:rPr>
            </w:pPr>
            <w:r>
              <w:rPr>
                <w:rFonts w:hint="eastAsia" w:ascii="宋体" w:hAnsi="宋体" w:cs="宋体"/>
                <w:szCs w:val="21"/>
              </w:rPr>
              <w:t>项目经理</w:t>
            </w:r>
          </w:p>
        </w:tc>
        <w:tc>
          <w:tcPr>
            <w:tcW w:w="803" w:type="dxa"/>
            <w:noWrap w:val="0"/>
            <w:vAlign w:val="center"/>
          </w:tcPr>
          <w:p w14:paraId="64CB4B4C">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673" w:type="dxa"/>
            <w:noWrap w:val="0"/>
            <w:vAlign w:val="center"/>
          </w:tcPr>
          <w:p w14:paraId="16ECF82C">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具有</w:t>
            </w:r>
            <w:r>
              <w:rPr>
                <w:rFonts w:hint="eastAsia" w:ascii="宋体" w:hAnsi="宋体" w:cs="宋体"/>
                <w:szCs w:val="21"/>
                <w:highlight w:val="none"/>
                <w:lang w:eastAsia="zh-CN"/>
              </w:rPr>
              <w:t>一级建造师注册证书</w:t>
            </w:r>
            <w:r>
              <w:rPr>
                <w:rFonts w:hint="eastAsia" w:ascii="宋体" w:hAnsi="宋体" w:cs="宋体"/>
                <w:szCs w:val="21"/>
                <w:highlight w:val="none"/>
              </w:rPr>
              <w:t xml:space="preserve"> (机电工程专业) ，具有省级及以上住房和城乡建设行政主管部门颁发的《安全生产考核合格证书》(B 类)(单位名称与投标人名称一致) 。</w:t>
            </w:r>
          </w:p>
          <w:p w14:paraId="7B662435">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近5年(20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月1日至今，以竣工时间为准)中至少担任过1项</w:t>
            </w:r>
            <w:r>
              <w:rPr>
                <w:rFonts w:hint="eastAsia" w:hAnsi="宋体" w:cs="宋体"/>
                <w:kern w:val="0"/>
                <w:szCs w:val="21"/>
                <w:highlight w:val="none"/>
                <w:lang w:val="en-US" w:eastAsia="zh-CN"/>
              </w:rPr>
              <w:t>±800KV及以上或1000KV及以上</w:t>
            </w:r>
            <w:r>
              <w:rPr>
                <w:rFonts w:hint="eastAsia" w:ascii="宋体" w:hAnsi="宋体" w:cs="宋体"/>
                <w:szCs w:val="21"/>
                <w:highlight w:val="none"/>
              </w:rPr>
              <w:t>电压等级的电力工程施工的项目经理</w:t>
            </w:r>
            <w:r>
              <w:rPr>
                <w:rFonts w:hint="eastAsia" w:ascii="宋体" w:hAnsi="宋体" w:cs="宋体"/>
                <w:szCs w:val="21"/>
                <w:highlight w:val="none"/>
                <w:lang w:val="en-US" w:eastAsia="zh-CN"/>
              </w:rPr>
              <w:t>或项目负责人</w:t>
            </w:r>
            <w:r>
              <w:rPr>
                <w:rFonts w:hint="eastAsia" w:ascii="宋体" w:hAnsi="宋体" w:cs="宋体"/>
                <w:szCs w:val="21"/>
                <w:highlight w:val="none"/>
              </w:rPr>
              <w:t>。</w:t>
            </w:r>
          </w:p>
          <w:p w14:paraId="27EA6A7B">
            <w:pPr>
              <w:spacing w:before="120" w:beforeLines="50"/>
              <w:jc w:val="left"/>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项目经理的</w:t>
            </w:r>
            <w:r>
              <w:rPr>
                <w:rFonts w:hint="eastAsia" w:ascii="宋体" w:hAnsi="宋体" w:cs="宋体"/>
                <w:szCs w:val="21"/>
                <w:highlight w:val="none"/>
                <w:lang w:eastAsia="zh-CN"/>
              </w:rPr>
              <w:t>一级建造师注册证书</w:t>
            </w:r>
            <w:r>
              <w:rPr>
                <w:rFonts w:hint="eastAsia" w:ascii="宋体" w:hAnsi="宋体" w:cs="宋体"/>
                <w:szCs w:val="21"/>
                <w:highlight w:val="none"/>
              </w:rPr>
              <w:t>的注册单位名称和安全生产考核合格证书的填报单位名称须与投标人单位或联合体牵头人名称一致。</w:t>
            </w:r>
          </w:p>
          <w:p w14:paraId="2EBADCE7">
            <w:pPr>
              <w:spacing w:line="360" w:lineRule="exact"/>
              <w:ind w:firstLine="420" w:firstLineChars="200"/>
              <w:rPr>
                <w:rFonts w:hint="default"/>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以联合体形式投标的，项目经理必须是联合体牵头人单位人员。</w:t>
            </w:r>
          </w:p>
        </w:tc>
        <w:tc>
          <w:tcPr>
            <w:tcW w:w="1512" w:type="dxa"/>
            <w:noWrap w:val="0"/>
            <w:vAlign w:val="center"/>
          </w:tcPr>
          <w:p w14:paraId="658B5BB4">
            <w:pPr>
              <w:spacing w:line="360" w:lineRule="exact"/>
              <w:jc w:val="left"/>
              <w:rPr>
                <w:rFonts w:hint="eastAsia" w:ascii="宋体" w:hAnsi="宋体" w:cs="宋体"/>
                <w:kern w:val="0"/>
                <w:szCs w:val="21"/>
              </w:rPr>
            </w:pPr>
            <w:r>
              <w:rPr>
                <w:rFonts w:hint="eastAsia" w:ascii="宋体" w:hAnsi="宋体" w:cs="宋体"/>
                <w:kern w:val="0"/>
                <w:szCs w:val="21"/>
              </w:rPr>
              <w:t>目前未在其他项目上任职，或虽在其他项目上任职但本项目中标后能够从其他项目撤离，并能在本项目履约。</w:t>
            </w:r>
          </w:p>
        </w:tc>
      </w:tr>
      <w:tr w14:paraId="3539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719" w:type="dxa"/>
            <w:vMerge w:val="continue"/>
            <w:noWrap w:val="0"/>
            <w:vAlign w:val="center"/>
          </w:tcPr>
          <w:p w14:paraId="23413069">
            <w:pPr>
              <w:spacing w:line="360" w:lineRule="exact"/>
              <w:jc w:val="center"/>
              <w:rPr>
                <w:rFonts w:hint="eastAsia" w:ascii="宋体" w:hAnsi="宋体" w:cs="宋体"/>
                <w:szCs w:val="21"/>
              </w:rPr>
            </w:pPr>
          </w:p>
        </w:tc>
        <w:tc>
          <w:tcPr>
            <w:tcW w:w="686" w:type="dxa"/>
            <w:noWrap w:val="0"/>
            <w:vAlign w:val="center"/>
          </w:tcPr>
          <w:p w14:paraId="01ED5E5B">
            <w:pPr>
              <w:spacing w:line="360" w:lineRule="exact"/>
              <w:jc w:val="center"/>
              <w:rPr>
                <w:rFonts w:hint="eastAsia" w:ascii="宋体" w:hAnsi="宋体" w:cs="宋体"/>
                <w:szCs w:val="21"/>
                <w:highlight w:val="none"/>
              </w:rPr>
            </w:pPr>
            <w:r>
              <w:rPr>
                <w:rFonts w:hint="eastAsia" w:ascii="宋体" w:hAnsi="宋体" w:cs="宋体"/>
                <w:szCs w:val="21"/>
                <w:highlight w:val="none"/>
                <w:lang w:val="en-US" w:eastAsia="zh-CN"/>
              </w:rPr>
              <w:t>设计负责人</w:t>
            </w:r>
          </w:p>
        </w:tc>
        <w:tc>
          <w:tcPr>
            <w:tcW w:w="803" w:type="dxa"/>
            <w:noWrap w:val="0"/>
            <w:vAlign w:val="center"/>
          </w:tcPr>
          <w:p w14:paraId="047D2667">
            <w:pPr>
              <w:spacing w:line="36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6673" w:type="dxa"/>
            <w:noWrap w:val="0"/>
            <w:vAlign w:val="center"/>
          </w:tcPr>
          <w:p w14:paraId="74BCE114">
            <w:pPr>
              <w:spacing w:line="360" w:lineRule="exact"/>
              <w:ind w:firstLine="420" w:firstLineChars="200"/>
              <w:rPr>
                <w:rFonts w:hint="eastAsia" w:ascii="宋体" w:hAnsi="宋体"/>
                <w:szCs w:val="21"/>
                <w:highlight w:val="none"/>
              </w:rPr>
            </w:pPr>
            <w:r>
              <w:rPr>
                <w:rFonts w:hint="eastAsia" w:ascii="宋体" w:hAnsi="宋体"/>
                <w:szCs w:val="21"/>
                <w:highlight w:val="none"/>
              </w:rPr>
              <w:t>高级工程师；近</w:t>
            </w:r>
            <w:r>
              <w:rPr>
                <w:rFonts w:hint="eastAsia" w:ascii="宋体" w:hAnsi="宋体"/>
                <w:szCs w:val="21"/>
                <w:highlight w:val="none"/>
                <w:lang w:val="en-US" w:eastAsia="zh-CN"/>
              </w:rPr>
              <w:t>5</w:t>
            </w:r>
            <w:r>
              <w:rPr>
                <w:rFonts w:hint="eastAsia" w:ascii="宋体" w:hAnsi="宋体"/>
                <w:szCs w:val="21"/>
                <w:highlight w:val="none"/>
              </w:rPr>
              <w:t>年（202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月1日至今，以竣工时间为准），至少担任过1项</w:t>
            </w:r>
            <w:r>
              <w:rPr>
                <w:rFonts w:hint="eastAsia" w:ascii="宋体" w:hAnsi="宋体" w:cs="宋体"/>
                <w:szCs w:val="21"/>
                <w:highlight w:val="none"/>
                <w:lang w:val="en-US" w:eastAsia="zh-CN"/>
              </w:rPr>
              <w:t>±800</w:t>
            </w:r>
            <w:r>
              <w:rPr>
                <w:rFonts w:hint="eastAsia" w:ascii="宋体" w:hAnsi="宋体" w:cs="宋体"/>
                <w:szCs w:val="21"/>
                <w:highlight w:val="none"/>
                <w:lang w:eastAsia="zh-CN"/>
              </w:rPr>
              <w:t>KV</w:t>
            </w:r>
            <w:r>
              <w:rPr>
                <w:rFonts w:hint="eastAsia" w:ascii="宋体" w:hAnsi="宋体"/>
                <w:szCs w:val="21"/>
                <w:highlight w:val="none"/>
              </w:rPr>
              <w:t>及以上</w:t>
            </w:r>
            <w:r>
              <w:rPr>
                <w:rFonts w:hint="eastAsia" w:ascii="宋体" w:hAnsi="宋体"/>
                <w:szCs w:val="21"/>
                <w:highlight w:val="none"/>
                <w:lang w:val="en-US" w:eastAsia="zh-CN"/>
              </w:rPr>
              <w:t>或1000KV及以上</w:t>
            </w:r>
            <w:r>
              <w:rPr>
                <w:rFonts w:hint="eastAsia" w:ascii="宋体" w:hAnsi="宋体"/>
                <w:szCs w:val="21"/>
                <w:highlight w:val="none"/>
              </w:rPr>
              <w:t>电压等级的电力工程施工图设计项目的</w:t>
            </w:r>
            <w:r>
              <w:rPr>
                <w:rFonts w:hint="eastAsia" w:ascii="宋体" w:hAnsi="宋体"/>
                <w:szCs w:val="21"/>
                <w:highlight w:val="none"/>
                <w:lang w:val="en-US" w:eastAsia="zh-CN"/>
              </w:rPr>
              <w:t>设计负责人或</w:t>
            </w:r>
            <w:r>
              <w:rPr>
                <w:rFonts w:hint="eastAsia" w:ascii="宋体" w:hAnsi="宋体"/>
                <w:szCs w:val="21"/>
                <w:highlight w:val="none"/>
              </w:rPr>
              <w:t>项目负责人。</w:t>
            </w:r>
          </w:p>
          <w:p w14:paraId="2576C2FB">
            <w:pPr>
              <w:spacing w:line="360" w:lineRule="exact"/>
              <w:rPr>
                <w:rFonts w:hint="eastAsia" w:ascii="宋体" w:hAnsi="宋体"/>
                <w:szCs w:val="21"/>
                <w:highlight w:val="none"/>
                <w:lang w:val="en-US" w:eastAsia="zh-CN"/>
              </w:rPr>
            </w:pPr>
            <w:r>
              <w:rPr>
                <w:rFonts w:hint="eastAsia" w:ascii="宋体" w:hAnsi="宋体" w:cs="宋体"/>
                <w:szCs w:val="21"/>
              </w:rPr>
              <w:t>注：</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以联合体形式投标的，</w:t>
            </w:r>
            <w:r>
              <w:rPr>
                <w:rFonts w:hint="eastAsia" w:ascii="宋体" w:hAnsi="宋体" w:cs="宋体"/>
                <w:szCs w:val="21"/>
                <w:lang w:val="en-US" w:eastAsia="zh-CN"/>
              </w:rPr>
              <w:t>设计负责人</w:t>
            </w:r>
            <w:r>
              <w:rPr>
                <w:rFonts w:hint="eastAsia" w:ascii="宋体" w:hAnsi="宋体" w:cs="宋体"/>
                <w:szCs w:val="21"/>
              </w:rPr>
              <w:t>必须是联合体</w:t>
            </w:r>
            <w:r>
              <w:rPr>
                <w:rFonts w:hint="eastAsia" w:ascii="宋体" w:hAnsi="宋体" w:cs="宋体"/>
                <w:szCs w:val="21"/>
                <w:lang w:val="en-US" w:eastAsia="zh-CN"/>
              </w:rPr>
              <w:t>成员</w:t>
            </w:r>
            <w:r>
              <w:rPr>
                <w:rFonts w:hint="eastAsia" w:ascii="宋体" w:hAnsi="宋体" w:cs="宋体"/>
                <w:szCs w:val="21"/>
              </w:rPr>
              <w:t>单位人员。</w:t>
            </w:r>
          </w:p>
        </w:tc>
        <w:tc>
          <w:tcPr>
            <w:tcW w:w="1512" w:type="dxa"/>
            <w:noWrap w:val="0"/>
            <w:vAlign w:val="center"/>
          </w:tcPr>
          <w:p w14:paraId="00494D62">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无</w:t>
            </w:r>
          </w:p>
        </w:tc>
      </w:tr>
      <w:tr w14:paraId="1148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393" w:type="dxa"/>
            <w:gridSpan w:val="5"/>
            <w:noWrap w:val="0"/>
            <w:vAlign w:val="center"/>
          </w:tcPr>
          <w:p w14:paraId="3D283C16">
            <w:pPr>
              <w:snapToGrid w:val="0"/>
              <w:spacing w:line="288" w:lineRule="auto"/>
              <w:ind w:firstLine="518" w:firstLineChars="247"/>
              <w:rPr>
                <w:rFonts w:hint="eastAsia" w:ascii="宋体" w:hAnsi="宋体"/>
                <w:szCs w:val="21"/>
              </w:rPr>
            </w:pPr>
            <w:r>
              <w:rPr>
                <w:rFonts w:hint="eastAsia" w:ascii="宋体" w:hAnsi="宋体"/>
                <w:szCs w:val="21"/>
              </w:rPr>
              <w:t>注：</w:t>
            </w:r>
          </w:p>
          <w:p w14:paraId="5E10726E">
            <w:pPr>
              <w:snapToGrid w:val="0"/>
              <w:spacing w:line="288" w:lineRule="auto"/>
              <w:ind w:firstLine="518" w:firstLineChars="247"/>
              <w:rPr>
                <w:rFonts w:hint="eastAsia" w:ascii="宋体" w:hAnsi="宋体"/>
                <w:szCs w:val="21"/>
              </w:rPr>
            </w:pPr>
            <w:r>
              <w:rPr>
                <w:rFonts w:hint="eastAsia" w:ascii="宋体" w:hAnsi="宋体"/>
                <w:szCs w:val="21"/>
              </w:rPr>
              <w:t>(1）设计业绩包括单独设计业绩或设计施工总承包中相应设计业绩；</w:t>
            </w:r>
          </w:p>
          <w:p w14:paraId="0C5F9CBF">
            <w:pPr>
              <w:snapToGrid w:val="0"/>
              <w:spacing w:line="288" w:lineRule="auto"/>
              <w:ind w:firstLine="518" w:firstLineChars="247"/>
              <w:rPr>
                <w:rFonts w:hint="eastAsia" w:ascii="宋体" w:hAnsi="宋体" w:cs="宋体"/>
                <w:kern w:val="0"/>
                <w:szCs w:val="21"/>
                <w:lang w:val="en-US" w:eastAsia="zh-CN"/>
              </w:rPr>
            </w:pPr>
            <w:r>
              <w:rPr>
                <w:rFonts w:hint="eastAsia" w:ascii="宋体" w:hAnsi="宋体" w:eastAsia="宋体" w:cs="Times New Roman"/>
                <w:szCs w:val="21"/>
              </w:rPr>
              <w:t>(2）施工业绩包括单独施工业绩或设计施工总承包中相应施工业绩；</w:t>
            </w:r>
          </w:p>
        </w:tc>
      </w:tr>
    </w:tbl>
    <w:p w14:paraId="10E4FA10">
      <w:pPr>
        <w:pStyle w:val="4"/>
        <w:rPr>
          <w:rFonts w:hint="eastAsia"/>
        </w:rPr>
      </w:pPr>
    </w:p>
    <w:p w14:paraId="6A794BDE">
      <w:pPr>
        <w:pStyle w:val="4"/>
        <w:spacing w:line="360" w:lineRule="auto"/>
        <w:jc w:val="left"/>
        <w:rPr>
          <w:rFonts w:ascii="宋体" w:hAnsi="宋体"/>
          <w:b/>
          <w:sz w:val="28"/>
          <w:szCs w:val="28"/>
        </w:rPr>
      </w:pPr>
      <w:r>
        <w:rPr>
          <w:rFonts w:hint="eastAsia" w:ascii="宋体" w:hAnsi="宋体" w:cs="宋体"/>
          <w:b/>
          <w:bCs/>
          <w:szCs w:val="21"/>
        </w:rPr>
        <w:br w:type="page"/>
      </w:r>
      <w:r>
        <w:rPr>
          <w:rFonts w:hint="eastAsia" w:ascii="宋体" w:hAnsi="宋体" w:eastAsia="宋体" w:cs="宋体"/>
          <w:b/>
          <w:sz w:val="24"/>
        </w:rPr>
        <w:t>附件2：评标办法（综合评</w:t>
      </w:r>
      <w:r>
        <w:rPr>
          <w:rFonts w:hint="eastAsia" w:ascii="宋体" w:hAnsi="宋体" w:eastAsia="宋体" w:cs="宋体"/>
          <w:b/>
          <w:sz w:val="24"/>
          <w:lang w:val="en-US" w:eastAsia="zh-CN"/>
        </w:rPr>
        <w:t>分</w:t>
      </w:r>
      <w:r>
        <w:rPr>
          <w:rFonts w:hint="eastAsia" w:ascii="宋体" w:hAnsi="宋体" w:eastAsia="宋体" w:cs="宋体"/>
          <w:b/>
          <w:sz w:val="24"/>
        </w:rPr>
        <w:t>法）</w:t>
      </w:r>
    </w:p>
    <w:p w14:paraId="63684AF2">
      <w:pPr>
        <w:pStyle w:val="4"/>
        <w:snapToGrid w:val="0"/>
        <w:spacing w:after="0"/>
        <w:jc w:val="center"/>
        <w:rPr>
          <w:rFonts w:ascii="宋体" w:hAnsi="宋体"/>
          <w:b/>
          <w:sz w:val="24"/>
        </w:rPr>
      </w:pPr>
      <w:r>
        <w:rPr>
          <w:rFonts w:ascii="宋体" w:hAnsi="宋体"/>
          <w:b/>
          <w:sz w:val="24"/>
        </w:rPr>
        <w:t>评标办法前附表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906"/>
        <w:gridCol w:w="6713"/>
      </w:tblGrid>
      <w:tr w14:paraId="7EB4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832" w:type="dxa"/>
            <w:noWrap w:val="0"/>
            <w:tcMar>
              <w:top w:w="113" w:type="dxa"/>
              <w:left w:w="51" w:type="dxa"/>
              <w:bottom w:w="113" w:type="dxa"/>
              <w:right w:w="51" w:type="dxa"/>
            </w:tcMar>
            <w:vAlign w:val="center"/>
          </w:tcPr>
          <w:p w14:paraId="6A84B903">
            <w:pPr>
              <w:adjustRightInd w:val="0"/>
              <w:snapToGrid w:val="0"/>
              <w:ind w:left="-105" w:leftChars="-50" w:right="-105" w:rightChars="-50"/>
              <w:jc w:val="center"/>
              <w:rPr>
                <w:rFonts w:ascii="宋体" w:hAnsi="宋体" w:cs="宋体"/>
                <w:b/>
                <w:szCs w:val="21"/>
              </w:rPr>
            </w:pPr>
            <w:r>
              <w:rPr>
                <w:rFonts w:hint="eastAsia" w:ascii="宋体" w:hAnsi="宋体" w:cs="宋体"/>
                <w:b/>
                <w:szCs w:val="21"/>
              </w:rPr>
              <w:t>条款号</w:t>
            </w:r>
          </w:p>
        </w:tc>
        <w:tc>
          <w:tcPr>
            <w:tcW w:w="1008" w:type="dxa"/>
            <w:noWrap w:val="0"/>
            <w:tcMar>
              <w:top w:w="113" w:type="dxa"/>
              <w:left w:w="51" w:type="dxa"/>
              <w:bottom w:w="113" w:type="dxa"/>
              <w:right w:w="51" w:type="dxa"/>
            </w:tcMar>
            <w:vAlign w:val="center"/>
          </w:tcPr>
          <w:p w14:paraId="56235C1B">
            <w:pPr>
              <w:adjustRightInd w:val="0"/>
              <w:snapToGrid w:val="0"/>
              <w:ind w:left="-105" w:leftChars="-50" w:right="-105" w:rightChars="-50"/>
              <w:jc w:val="center"/>
              <w:rPr>
                <w:rFonts w:hint="eastAsia" w:ascii="宋体" w:hAnsi="宋体" w:cs="宋体"/>
                <w:b/>
                <w:szCs w:val="21"/>
              </w:rPr>
            </w:pPr>
            <w:r>
              <w:rPr>
                <w:rFonts w:hint="eastAsia" w:ascii="宋体" w:hAnsi="宋体" w:cs="宋体"/>
                <w:b/>
                <w:szCs w:val="21"/>
              </w:rPr>
              <w:t>条款</w:t>
            </w:r>
          </w:p>
          <w:p w14:paraId="2DACA00D">
            <w:pPr>
              <w:adjustRightInd w:val="0"/>
              <w:snapToGrid w:val="0"/>
              <w:ind w:left="-105" w:leftChars="-50" w:right="-105" w:rightChars="-50"/>
              <w:jc w:val="center"/>
              <w:rPr>
                <w:rFonts w:ascii="宋体" w:hAnsi="宋体" w:cs="宋体"/>
                <w:b/>
                <w:szCs w:val="21"/>
              </w:rPr>
            </w:pPr>
            <w:r>
              <w:rPr>
                <w:rFonts w:hint="eastAsia" w:ascii="宋体" w:hAnsi="宋体" w:cs="宋体"/>
                <w:b/>
                <w:szCs w:val="21"/>
              </w:rPr>
              <w:t>名称</w:t>
            </w:r>
          </w:p>
        </w:tc>
        <w:tc>
          <w:tcPr>
            <w:tcW w:w="7520" w:type="dxa"/>
            <w:noWrap w:val="0"/>
            <w:tcMar>
              <w:top w:w="113" w:type="dxa"/>
              <w:left w:w="51" w:type="dxa"/>
              <w:bottom w:w="113" w:type="dxa"/>
              <w:right w:w="51" w:type="dxa"/>
            </w:tcMar>
            <w:vAlign w:val="center"/>
          </w:tcPr>
          <w:p w14:paraId="7CF9C219">
            <w:pPr>
              <w:adjustRightInd w:val="0"/>
              <w:snapToGrid w:val="0"/>
              <w:ind w:left="-105" w:leftChars="-50" w:right="-105" w:rightChars="-50"/>
              <w:jc w:val="center"/>
              <w:rPr>
                <w:rFonts w:ascii="宋体" w:hAnsi="宋体" w:cs="宋体"/>
                <w:b/>
                <w:szCs w:val="21"/>
              </w:rPr>
            </w:pPr>
            <w:r>
              <w:rPr>
                <w:rFonts w:hint="eastAsia" w:ascii="宋体" w:hAnsi="宋体" w:cs="宋体"/>
                <w:b/>
                <w:szCs w:val="21"/>
              </w:rPr>
              <w:t>评审因素与评审标准</w:t>
            </w:r>
          </w:p>
        </w:tc>
      </w:tr>
      <w:tr w14:paraId="68B3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noWrap w:val="0"/>
            <w:tcMar>
              <w:top w:w="113" w:type="dxa"/>
              <w:left w:w="51" w:type="dxa"/>
              <w:bottom w:w="113" w:type="dxa"/>
              <w:right w:w="51" w:type="dxa"/>
            </w:tcMar>
            <w:vAlign w:val="center"/>
          </w:tcPr>
          <w:p w14:paraId="2FDB0FFF">
            <w:pPr>
              <w:adjustRightInd w:val="0"/>
              <w:snapToGrid w:val="0"/>
              <w:jc w:val="center"/>
              <w:rPr>
                <w:rFonts w:ascii="宋体" w:hAnsi="宋体" w:cs="宋体"/>
                <w:szCs w:val="21"/>
              </w:rPr>
            </w:pPr>
            <w:r>
              <w:rPr>
                <w:rFonts w:hint="eastAsia" w:ascii="宋体" w:hAnsi="宋体" w:cs="宋体"/>
                <w:szCs w:val="21"/>
              </w:rPr>
              <w:t>1</w:t>
            </w:r>
          </w:p>
        </w:tc>
        <w:tc>
          <w:tcPr>
            <w:tcW w:w="1008" w:type="dxa"/>
            <w:noWrap w:val="0"/>
            <w:tcMar>
              <w:top w:w="113" w:type="dxa"/>
              <w:left w:w="51" w:type="dxa"/>
              <w:bottom w:w="113" w:type="dxa"/>
              <w:right w:w="51" w:type="dxa"/>
            </w:tcMar>
            <w:vAlign w:val="center"/>
          </w:tcPr>
          <w:p w14:paraId="3F50B5DE">
            <w:pPr>
              <w:adjustRightInd w:val="0"/>
              <w:snapToGrid w:val="0"/>
              <w:jc w:val="center"/>
              <w:rPr>
                <w:rFonts w:ascii="宋体" w:hAnsi="宋体" w:cs="宋体"/>
                <w:szCs w:val="21"/>
              </w:rPr>
            </w:pPr>
            <w:r>
              <w:rPr>
                <w:rFonts w:hint="eastAsia" w:ascii="宋体" w:hAnsi="宋体" w:cs="宋体"/>
                <w:szCs w:val="21"/>
              </w:rPr>
              <w:t>评标办法</w:t>
            </w:r>
          </w:p>
        </w:tc>
        <w:tc>
          <w:tcPr>
            <w:tcW w:w="7520" w:type="dxa"/>
            <w:noWrap w:val="0"/>
            <w:tcMar>
              <w:top w:w="113" w:type="dxa"/>
              <w:left w:w="51" w:type="dxa"/>
              <w:bottom w:w="113" w:type="dxa"/>
              <w:right w:w="51" w:type="dxa"/>
            </w:tcMar>
            <w:vAlign w:val="center"/>
          </w:tcPr>
          <w:p w14:paraId="35721A9F">
            <w:pPr>
              <w:pStyle w:val="8"/>
              <w:spacing w:before="53" w:line="280" w:lineRule="auto"/>
              <w:ind w:left="116" w:right="106" w:firstLine="418"/>
              <w:jc w:val="both"/>
            </w:pPr>
            <w:r>
              <w:rPr>
                <w:spacing w:val="10"/>
              </w:rPr>
              <w:t>本次评标采用综合评估法。评标委员会对满足招标文件实质性要求的</w:t>
            </w:r>
            <w:r>
              <w:rPr>
                <w:spacing w:val="4"/>
              </w:rPr>
              <w:t xml:space="preserve"> </w:t>
            </w:r>
            <w:r>
              <w:rPr>
                <w:spacing w:val="6"/>
              </w:rPr>
              <w:t>投标文件，按照本章第 2.2 款规定的评分标准进行打分，并按综合得分由</w:t>
            </w:r>
            <w:r>
              <w:rPr>
                <w:spacing w:val="10"/>
              </w:rPr>
              <w:t xml:space="preserve"> </w:t>
            </w:r>
            <w:r>
              <w:rPr>
                <w:spacing w:val="8"/>
              </w:rPr>
              <w:t>高到低顺序推荐</w:t>
            </w:r>
            <w:r>
              <w:rPr>
                <w:spacing w:val="-6"/>
              </w:rPr>
              <w:t xml:space="preserve"> </w:t>
            </w:r>
            <w:r>
              <w:rPr>
                <w:spacing w:val="8"/>
              </w:rPr>
              <w:t>1-3</w:t>
            </w:r>
            <w:r>
              <w:rPr>
                <w:spacing w:val="-36"/>
              </w:rPr>
              <w:t xml:space="preserve"> </w:t>
            </w:r>
            <w:r>
              <w:rPr>
                <w:spacing w:val="8"/>
              </w:rPr>
              <w:t>名中标候选人。综合评分相等时，评标委员会依次按</w:t>
            </w:r>
            <w:r>
              <w:t xml:space="preserve"> </w:t>
            </w:r>
            <w:r>
              <w:rPr>
                <w:spacing w:val="8"/>
              </w:rPr>
              <w:t>照以下优先顺序推荐中标候选人：</w:t>
            </w:r>
          </w:p>
          <w:p w14:paraId="50A01C88">
            <w:pPr>
              <w:pStyle w:val="8"/>
              <w:spacing w:before="32" w:line="226" w:lineRule="auto"/>
              <w:ind w:left="123"/>
            </w:pPr>
            <w:r>
              <w:rPr>
                <w:spacing w:val="7"/>
              </w:rPr>
              <w:t>（1）评标价低的投标人优先；</w:t>
            </w:r>
          </w:p>
          <w:p w14:paraId="0FFE04B4">
            <w:pPr>
              <w:pStyle w:val="8"/>
              <w:spacing w:before="66" w:line="228" w:lineRule="auto"/>
              <w:ind w:left="123"/>
            </w:pPr>
            <w:r>
              <w:rPr>
                <w:spacing w:val="8"/>
              </w:rPr>
              <w:t>（2）承包人实施计划得分较高的投标人优先；</w:t>
            </w:r>
          </w:p>
          <w:p w14:paraId="27AD0CD6">
            <w:pPr>
              <w:pStyle w:val="8"/>
              <w:spacing w:before="65" w:line="258" w:lineRule="auto"/>
              <w:ind w:left="117" w:right="109" w:firstLine="5"/>
              <w:rPr>
                <w:spacing w:val="-2"/>
              </w:rPr>
            </w:pPr>
            <w:r>
              <w:rPr>
                <w:spacing w:val="6"/>
              </w:rPr>
              <w:t>（3）满足资格审查条件（业绩最低要求）要求的业绩累计合同金额高的优</w:t>
            </w:r>
            <w:r>
              <w:rPr>
                <w:spacing w:val="-2"/>
              </w:rPr>
              <w:t>先。</w:t>
            </w:r>
          </w:p>
          <w:p w14:paraId="6D347406">
            <w:pPr>
              <w:pStyle w:val="8"/>
              <w:spacing w:before="65" w:line="258" w:lineRule="auto"/>
              <w:ind w:left="117" w:right="109" w:firstLine="5"/>
              <w:rPr>
                <w:rFonts w:ascii="宋体" w:hAnsi="宋体"/>
                <w:szCs w:val="21"/>
              </w:rPr>
            </w:pPr>
            <w:r>
              <w:rPr>
                <w:rFonts w:hint="eastAsia" w:ascii="宋体" w:hAnsi="宋体" w:eastAsia="宋体" w:cs="宋体"/>
                <w:spacing w:val="6"/>
                <w:lang w:val="en-US" w:eastAsia="zh-CN"/>
              </w:rPr>
              <w:t>注:本项目按照一标段、二标段的顺序逐一进行评审，如同一投标人同时参与两个标段的投标且得分均排名第一时，只推荐为一标段的第一中标候选人，二标段不再推选为中标候选人。</w:t>
            </w:r>
          </w:p>
        </w:tc>
      </w:tr>
      <w:tr w14:paraId="100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832" w:type="dxa"/>
            <w:noWrap w:val="0"/>
            <w:tcMar>
              <w:top w:w="113" w:type="dxa"/>
              <w:left w:w="51" w:type="dxa"/>
              <w:bottom w:w="113" w:type="dxa"/>
              <w:right w:w="51" w:type="dxa"/>
            </w:tcMar>
            <w:vAlign w:val="center"/>
          </w:tcPr>
          <w:p w14:paraId="7EAE1D12">
            <w:pPr>
              <w:adjustRightInd w:val="0"/>
              <w:snapToGrid w:val="0"/>
              <w:jc w:val="center"/>
              <w:rPr>
                <w:rFonts w:ascii="宋体" w:hAnsi="宋体" w:cs="宋体"/>
                <w:szCs w:val="21"/>
              </w:rPr>
            </w:pPr>
            <w:r>
              <w:rPr>
                <w:rFonts w:ascii="宋体" w:hAnsi="宋体" w:cs="宋体"/>
                <w:szCs w:val="21"/>
              </w:rPr>
              <w:t>2.1.1</w:t>
            </w:r>
          </w:p>
          <w:p w14:paraId="095292EF">
            <w:pPr>
              <w:adjustRightInd w:val="0"/>
              <w:snapToGrid w:val="0"/>
              <w:jc w:val="center"/>
              <w:rPr>
                <w:rFonts w:ascii="宋体" w:hAnsi="宋体" w:cs="宋体"/>
                <w:szCs w:val="21"/>
              </w:rPr>
            </w:pPr>
            <w:r>
              <w:rPr>
                <w:rFonts w:ascii="宋体" w:hAnsi="宋体" w:cs="宋体"/>
                <w:szCs w:val="21"/>
              </w:rPr>
              <w:t>2.1.3</w:t>
            </w:r>
          </w:p>
        </w:tc>
        <w:tc>
          <w:tcPr>
            <w:tcW w:w="1008" w:type="dxa"/>
            <w:noWrap w:val="0"/>
            <w:tcMar>
              <w:top w:w="113" w:type="dxa"/>
              <w:left w:w="51" w:type="dxa"/>
              <w:bottom w:w="113" w:type="dxa"/>
              <w:right w:w="51" w:type="dxa"/>
            </w:tcMar>
            <w:vAlign w:val="center"/>
          </w:tcPr>
          <w:p w14:paraId="18D639F6">
            <w:pPr>
              <w:adjustRightInd w:val="0"/>
              <w:snapToGrid w:val="0"/>
              <w:jc w:val="center"/>
              <w:rPr>
                <w:rFonts w:ascii="宋体" w:hAnsi="宋体" w:cs="宋体"/>
                <w:szCs w:val="21"/>
              </w:rPr>
            </w:pPr>
            <w:r>
              <w:rPr>
                <w:rFonts w:hint="eastAsia" w:ascii="宋体" w:hAnsi="宋体" w:cs="宋体"/>
                <w:szCs w:val="21"/>
              </w:rPr>
              <w:t>形式评审与响应性评审标准</w:t>
            </w:r>
          </w:p>
        </w:tc>
        <w:tc>
          <w:tcPr>
            <w:tcW w:w="7520" w:type="dxa"/>
            <w:noWrap w:val="0"/>
            <w:tcMar>
              <w:top w:w="113" w:type="dxa"/>
              <w:left w:w="51" w:type="dxa"/>
              <w:bottom w:w="113" w:type="dxa"/>
              <w:right w:w="51" w:type="dxa"/>
            </w:tcMar>
            <w:vAlign w:val="top"/>
          </w:tcPr>
          <w:p w14:paraId="7FE49E31">
            <w:pPr>
              <w:pStyle w:val="8"/>
              <w:spacing w:before="32" w:line="228" w:lineRule="auto"/>
              <w:ind w:left="113"/>
            </w:pPr>
            <w:r>
              <w:rPr>
                <w:spacing w:val="10"/>
              </w:rPr>
              <w:t>第一个信封（投标文件明标部分）评审标准:</w:t>
            </w:r>
          </w:p>
          <w:p w14:paraId="3B0C3076">
            <w:pPr>
              <w:pStyle w:val="8"/>
              <w:spacing w:before="65" w:line="228" w:lineRule="auto"/>
              <w:ind w:left="507"/>
            </w:pPr>
            <w:r>
              <w:rPr>
                <w:spacing w:val="9"/>
              </w:rPr>
              <w:t>（1）投标文件按照招标文件规定的格式、内容填写，字迹清</w:t>
            </w:r>
            <w:r>
              <w:rPr>
                <w:spacing w:val="8"/>
              </w:rPr>
              <w:t>晰可辨：</w:t>
            </w:r>
          </w:p>
          <w:p w14:paraId="383DFD90">
            <w:pPr>
              <w:pStyle w:val="8"/>
              <w:spacing w:before="64" w:line="276" w:lineRule="auto"/>
              <w:ind w:left="112" w:right="109" w:firstLine="385"/>
            </w:pPr>
            <w:r>
              <w:rPr>
                <w:spacing w:val="11"/>
              </w:rPr>
              <w:t>a.投标函按招标文件规定填报了项目名称、</w:t>
            </w:r>
            <w:r>
              <w:rPr>
                <w:rFonts w:hint="eastAsia"/>
                <w:spacing w:val="11"/>
                <w:lang w:val="en-US" w:eastAsia="zh-CN"/>
              </w:rPr>
              <w:t>标段号、</w:t>
            </w:r>
            <w:r>
              <w:rPr>
                <w:spacing w:val="11"/>
              </w:rPr>
              <w:t>补遗书编号（如</w:t>
            </w:r>
            <w:r>
              <w:rPr>
                <w:spacing w:val="10"/>
              </w:rPr>
              <w:t>有）、工</w:t>
            </w:r>
            <w:r>
              <w:rPr>
                <w:spacing w:val="9"/>
              </w:rPr>
              <w:t>程质量、安全目标、工期、项目经理</w:t>
            </w:r>
            <w:r>
              <w:rPr>
                <w:rFonts w:hint="eastAsia"/>
                <w:spacing w:val="9"/>
                <w:lang w:val="en-US" w:eastAsia="zh-CN"/>
              </w:rPr>
              <w:t>等</w:t>
            </w:r>
            <w:r>
              <w:rPr>
                <w:spacing w:val="9"/>
              </w:rPr>
              <w:t>信息；</w:t>
            </w:r>
          </w:p>
          <w:p w14:paraId="7C59D991">
            <w:pPr>
              <w:pStyle w:val="8"/>
              <w:spacing w:before="29" w:line="227" w:lineRule="auto"/>
              <w:ind w:left="494"/>
            </w:pPr>
            <w:r>
              <w:rPr>
                <w:spacing w:val="8"/>
              </w:rPr>
              <w:t>b.投标函附录的所有数据均符合招标文件规定；</w:t>
            </w:r>
          </w:p>
          <w:p w14:paraId="58D9150C">
            <w:pPr>
              <w:pStyle w:val="8"/>
              <w:spacing w:before="68" w:line="228" w:lineRule="auto"/>
              <w:ind w:left="501"/>
            </w:pPr>
            <w:r>
              <w:rPr>
                <w:spacing w:val="8"/>
              </w:rPr>
              <w:t>c.投标文件组成齐全完整，内容均按规定填写。</w:t>
            </w:r>
          </w:p>
          <w:p w14:paraId="6E46AB6C">
            <w:pPr>
              <w:pStyle w:val="8"/>
              <w:spacing w:before="68" w:line="257" w:lineRule="auto"/>
              <w:ind w:left="114" w:right="109" w:firstLine="393"/>
            </w:pPr>
            <w:r>
              <w:rPr>
                <w:spacing w:val="7"/>
              </w:rPr>
              <w:t>（2）投标文件上法定代表人或其授权代理人的签字、投标人的单位章</w:t>
            </w:r>
            <w:r>
              <w:rPr>
                <w:spacing w:val="11"/>
              </w:rPr>
              <w:t xml:space="preserve"> </w:t>
            </w:r>
            <w:r>
              <w:rPr>
                <w:spacing w:val="8"/>
              </w:rPr>
              <w:t>盖章齐全，符合招标文件规定。</w:t>
            </w:r>
          </w:p>
          <w:p w14:paraId="2F6BFB1D">
            <w:pPr>
              <w:pStyle w:val="8"/>
              <w:spacing w:before="102" w:line="272" w:lineRule="auto"/>
              <w:ind w:left="113" w:right="106" w:firstLine="293"/>
            </w:pPr>
            <w:r>
              <w:rPr>
                <w:spacing w:val="8"/>
              </w:rPr>
              <w:t>（3）投标人按照招标文件第二章“投标人须知</w:t>
            </w:r>
            <w:r>
              <w:rPr>
                <w:spacing w:val="-65"/>
              </w:rPr>
              <w:t xml:space="preserve"> </w:t>
            </w:r>
            <w:r>
              <w:rPr>
                <w:spacing w:val="8"/>
              </w:rPr>
              <w:t>”第</w:t>
            </w:r>
            <w:r>
              <w:rPr>
                <w:spacing w:val="-33"/>
              </w:rPr>
              <w:t xml:space="preserve"> </w:t>
            </w:r>
            <w:r>
              <w:rPr>
                <w:spacing w:val="8"/>
              </w:rPr>
              <w:t>3.4.1</w:t>
            </w:r>
            <w:r>
              <w:rPr>
                <w:spacing w:val="-34"/>
              </w:rPr>
              <w:t xml:space="preserve"> </w:t>
            </w:r>
            <w:r>
              <w:rPr>
                <w:spacing w:val="8"/>
              </w:rPr>
              <w:t>项规定的金</w:t>
            </w:r>
            <w:r>
              <w:t xml:space="preserve"> </w:t>
            </w:r>
            <w:r>
              <w:rPr>
                <w:spacing w:val="8"/>
              </w:rPr>
              <w:t>额、形式、时效和内容提供了投标保证金。</w:t>
            </w:r>
          </w:p>
          <w:p w14:paraId="71A097CF">
            <w:pPr>
              <w:pStyle w:val="8"/>
              <w:spacing w:before="60" w:line="259" w:lineRule="auto"/>
              <w:ind w:left="112" w:right="109" w:firstLine="394"/>
            </w:pPr>
            <w:r>
              <w:rPr>
                <w:spacing w:val="7"/>
              </w:rPr>
              <w:t>（4）投标人法定代表人授权委托代理人签署投标文件的，须提交授权</w:t>
            </w:r>
            <w:r>
              <w:rPr>
                <w:spacing w:val="11"/>
              </w:rPr>
              <w:t xml:space="preserve"> </w:t>
            </w:r>
            <w:r>
              <w:rPr>
                <w:spacing w:val="8"/>
              </w:rPr>
              <w:t>委托书，授权委托书符合招标文件规定。</w:t>
            </w:r>
          </w:p>
          <w:p w14:paraId="7406A11B">
            <w:pPr>
              <w:pStyle w:val="8"/>
              <w:spacing w:before="66" w:line="259" w:lineRule="auto"/>
              <w:ind w:left="113" w:right="109" w:firstLine="394"/>
            </w:pPr>
            <w:r>
              <w:rPr>
                <w:spacing w:val="7"/>
              </w:rPr>
              <w:t>（5）投标人法定代表人亲自签署投标文件的，提供了法定代表人身份</w:t>
            </w:r>
            <w:r>
              <w:rPr>
                <w:spacing w:val="11"/>
              </w:rPr>
              <w:t xml:space="preserve"> </w:t>
            </w:r>
            <w:r>
              <w:rPr>
                <w:spacing w:val="9"/>
              </w:rPr>
              <w:t>证明，法定代表人身份证明符合招标文件规定。</w:t>
            </w:r>
          </w:p>
          <w:p w14:paraId="5F854F24">
            <w:pPr>
              <w:pStyle w:val="8"/>
              <w:spacing w:before="65" w:line="228" w:lineRule="auto"/>
              <w:ind w:left="543"/>
              <w:rPr>
                <w:rFonts w:hint="eastAsia" w:eastAsia="宋体"/>
                <w:lang w:eastAsia="zh-CN"/>
              </w:rPr>
            </w:pPr>
            <w:r>
              <w:rPr>
                <w:spacing w:val="9"/>
              </w:rPr>
              <w:t>（6）投标人以联合体形式投标时，联合体满</w:t>
            </w:r>
            <w:r>
              <w:rPr>
                <w:spacing w:val="8"/>
              </w:rPr>
              <w:t>足招标文件的要求</w:t>
            </w:r>
            <w:r>
              <w:rPr>
                <w:rFonts w:hint="eastAsia"/>
                <w:spacing w:val="8"/>
                <w:lang w:eastAsia="zh-CN"/>
              </w:rPr>
              <w:t>。</w:t>
            </w:r>
          </w:p>
          <w:p w14:paraId="06E11CBE">
            <w:pPr>
              <w:pStyle w:val="8"/>
              <w:spacing w:before="29" w:line="228" w:lineRule="auto"/>
              <w:ind w:left="507"/>
            </w:pPr>
            <w:r>
              <w:rPr>
                <w:spacing w:val="8"/>
              </w:rPr>
              <w:t>（7）同一投标人</w:t>
            </w:r>
            <w:r>
              <w:rPr>
                <w:rFonts w:hint="eastAsia"/>
                <w:spacing w:val="8"/>
                <w:lang w:val="en-US" w:eastAsia="zh-CN"/>
              </w:rPr>
              <w:t>对同一标段</w:t>
            </w:r>
            <w:r>
              <w:rPr>
                <w:spacing w:val="8"/>
              </w:rPr>
              <w:t>未提交两个以上不同的投标文件。</w:t>
            </w:r>
          </w:p>
          <w:p w14:paraId="1CD00E0C">
            <w:pPr>
              <w:pStyle w:val="8"/>
              <w:spacing w:before="66" w:line="226" w:lineRule="auto"/>
              <w:ind w:left="507"/>
            </w:pPr>
            <w:r>
              <w:rPr>
                <w:spacing w:val="8"/>
              </w:rPr>
              <w:t>（8）投标文件第一个信封中未出现有关投标报价的内容。</w:t>
            </w:r>
          </w:p>
          <w:p w14:paraId="7D8C6005">
            <w:pPr>
              <w:pStyle w:val="8"/>
              <w:spacing w:before="69" w:line="228" w:lineRule="auto"/>
              <w:ind w:left="507"/>
            </w:pPr>
            <w:r>
              <w:rPr>
                <w:spacing w:val="9"/>
              </w:rPr>
              <w:t>（9）投标文件载明的招标项目完成期限，符合招</w:t>
            </w:r>
            <w:r>
              <w:rPr>
                <w:spacing w:val="8"/>
              </w:rPr>
              <w:t>标文件规定。</w:t>
            </w:r>
          </w:p>
          <w:p w14:paraId="7E4E1D23">
            <w:pPr>
              <w:pStyle w:val="8"/>
              <w:spacing w:before="65" w:line="228" w:lineRule="auto"/>
              <w:ind w:left="507"/>
            </w:pPr>
            <w:r>
              <w:rPr>
                <w:spacing w:val="8"/>
              </w:rPr>
              <w:t>（10）投标文件对招标文件的实质性要求和条件作出响应。</w:t>
            </w:r>
          </w:p>
          <w:p w14:paraId="632948BE">
            <w:pPr>
              <w:pStyle w:val="8"/>
              <w:spacing w:before="67" w:line="228" w:lineRule="auto"/>
              <w:ind w:left="507"/>
            </w:pPr>
            <w:r>
              <w:rPr>
                <w:spacing w:val="7"/>
              </w:rPr>
              <w:t>（11）权利义务符合招标文件规定：</w:t>
            </w:r>
          </w:p>
          <w:p w14:paraId="1269003A">
            <w:pPr>
              <w:pStyle w:val="8"/>
              <w:spacing w:before="65" w:line="276" w:lineRule="auto"/>
              <w:ind w:left="117" w:right="109" w:firstLine="380"/>
            </w:pPr>
            <w:r>
              <w:rPr>
                <w:spacing w:val="11"/>
              </w:rPr>
              <w:t>a.投标人应接受招标文件规定的风险划分原则，未提出新的</w:t>
            </w:r>
            <w:r>
              <w:rPr>
                <w:spacing w:val="10"/>
              </w:rPr>
              <w:t>风险划分</w:t>
            </w:r>
            <w:r>
              <w:t xml:space="preserve"> </w:t>
            </w:r>
            <w:r>
              <w:rPr>
                <w:spacing w:val="1"/>
              </w:rPr>
              <w:t>办法；</w:t>
            </w:r>
          </w:p>
          <w:p w14:paraId="35B3542C">
            <w:pPr>
              <w:pStyle w:val="8"/>
              <w:spacing w:before="29" w:line="228" w:lineRule="auto"/>
              <w:ind w:left="494"/>
            </w:pPr>
            <w:r>
              <w:rPr>
                <w:spacing w:val="9"/>
              </w:rPr>
              <w:t>b.投标人未增加发包人的责任范围，或减少投标人义务；</w:t>
            </w:r>
          </w:p>
          <w:p w14:paraId="021B204E">
            <w:pPr>
              <w:pStyle w:val="8"/>
              <w:spacing w:before="67" w:line="228" w:lineRule="auto"/>
              <w:ind w:left="501"/>
            </w:pPr>
            <w:r>
              <w:rPr>
                <w:spacing w:val="7"/>
              </w:rPr>
              <w:t>c.投标人未提出不同的支付办法；</w:t>
            </w:r>
          </w:p>
          <w:p w14:paraId="03187CF2">
            <w:pPr>
              <w:pStyle w:val="8"/>
              <w:spacing w:before="69" w:line="273" w:lineRule="auto"/>
              <w:ind w:left="501" w:right="1890"/>
              <w:rPr>
                <w:spacing w:val="15"/>
              </w:rPr>
            </w:pPr>
            <w:r>
              <w:rPr>
                <w:spacing w:val="6"/>
              </w:rPr>
              <w:t>d.投标人对合同纠纷、事故处理办法未提出异议；</w:t>
            </w:r>
            <w:r>
              <w:rPr>
                <w:spacing w:val="15"/>
              </w:rPr>
              <w:t xml:space="preserve"> </w:t>
            </w:r>
          </w:p>
          <w:p w14:paraId="309127B7">
            <w:pPr>
              <w:pStyle w:val="8"/>
              <w:spacing w:before="69" w:line="273" w:lineRule="auto"/>
              <w:ind w:left="501" w:right="1890"/>
            </w:pPr>
            <w:r>
              <w:rPr>
                <w:spacing w:val="7"/>
              </w:rPr>
              <w:t>e.投标人在投标活动中无欺诈行为；</w:t>
            </w:r>
          </w:p>
          <w:p w14:paraId="228B40CC">
            <w:pPr>
              <w:pStyle w:val="8"/>
              <w:spacing w:before="31" w:line="228" w:lineRule="auto"/>
              <w:ind w:left="501"/>
              <w:rPr>
                <w:spacing w:val="8"/>
              </w:rPr>
            </w:pPr>
            <w:r>
              <w:rPr>
                <w:spacing w:val="8"/>
              </w:rPr>
              <w:t>f.投标人未对合同条款有重要保留。</w:t>
            </w:r>
          </w:p>
          <w:p w14:paraId="3365C84E">
            <w:pPr>
              <w:pStyle w:val="8"/>
              <w:spacing w:before="65" w:line="276" w:lineRule="auto"/>
              <w:ind w:left="117" w:right="109" w:firstLine="380"/>
              <w:rPr>
                <w:rFonts w:hint="eastAsia" w:ascii="宋体" w:hAnsi="宋体" w:eastAsia="宋体" w:cs="宋体"/>
                <w:spacing w:val="11"/>
                <w:highlight w:val="none"/>
              </w:rPr>
            </w:pPr>
            <w:r>
              <w:rPr>
                <w:rFonts w:hint="eastAsia" w:ascii="宋体" w:hAnsi="宋体" w:eastAsia="宋体" w:cs="宋体"/>
                <w:spacing w:val="11"/>
                <w:highlight w:val="none"/>
                <w:lang w:val="en-US" w:eastAsia="zh-CN"/>
              </w:rPr>
              <w:t>（12</w:t>
            </w:r>
            <w:r>
              <w:rPr>
                <w:rFonts w:hint="eastAsia" w:ascii="宋体" w:hAnsi="宋体" w:eastAsia="宋体" w:cs="宋体"/>
                <w:spacing w:val="11"/>
                <w:highlight w:val="none"/>
              </w:rPr>
              <w:t>）投标人不存在投标人须知前附表4.4(1)、(3)项规定的情形</w:t>
            </w:r>
            <w:r>
              <w:rPr>
                <w:rFonts w:hint="eastAsia" w:ascii="宋体" w:hAnsi="宋体" w:eastAsia="宋体" w:cs="宋体"/>
                <w:spacing w:val="11"/>
                <w:highlight w:val="none"/>
                <w:lang w:eastAsia="zh-CN"/>
              </w:rPr>
              <w:t>。</w:t>
            </w:r>
          </w:p>
          <w:p w14:paraId="62F610F1">
            <w:pPr>
              <w:pStyle w:val="8"/>
              <w:spacing w:before="65" w:line="276" w:lineRule="auto"/>
              <w:ind w:left="117" w:right="109" w:firstLine="380"/>
              <w:rPr>
                <w:rFonts w:hint="eastAsia" w:ascii="宋体" w:hAnsi="宋体" w:eastAsia="宋体" w:cs="宋体"/>
                <w:spacing w:val="11"/>
                <w:highlight w:val="none"/>
              </w:rPr>
            </w:pPr>
            <w:r>
              <w:rPr>
                <w:rFonts w:hint="eastAsia" w:ascii="宋体" w:hAnsi="宋体" w:eastAsia="宋体" w:cs="宋体"/>
                <w:spacing w:val="11"/>
                <w:highlight w:val="none"/>
              </w:rPr>
              <w:t>（</w:t>
            </w:r>
            <w:r>
              <w:rPr>
                <w:rFonts w:hint="eastAsia" w:ascii="宋体" w:hAnsi="宋体" w:eastAsia="宋体" w:cs="宋体"/>
                <w:spacing w:val="11"/>
                <w:highlight w:val="none"/>
                <w:lang w:val="en-US" w:eastAsia="zh-CN"/>
              </w:rPr>
              <w:t>13</w:t>
            </w:r>
            <w:r>
              <w:rPr>
                <w:rFonts w:hint="eastAsia" w:ascii="宋体" w:hAnsi="宋体" w:eastAsia="宋体" w:cs="宋体"/>
                <w:spacing w:val="11"/>
                <w:highlight w:val="none"/>
              </w:rPr>
              <w:t>）投标人不存在</w:t>
            </w:r>
            <w:r>
              <w:rPr>
                <w:rFonts w:hint="eastAsia" w:ascii="宋体" w:hAnsi="宋体" w:eastAsia="宋体" w:cs="宋体"/>
                <w:spacing w:val="11"/>
                <w:highlight w:val="none"/>
                <w:lang w:val="en-US" w:eastAsia="zh-CN"/>
              </w:rPr>
              <w:t>因</w:t>
            </w:r>
            <w:r>
              <w:rPr>
                <w:rFonts w:hint="eastAsia" w:ascii="宋体" w:hAnsi="宋体" w:eastAsia="宋体" w:cs="宋体"/>
                <w:spacing w:val="11"/>
                <w:highlight w:val="none"/>
              </w:rPr>
              <w:t>投标人须知前附表4.4(2)项规定的情形</w:t>
            </w:r>
            <w:r>
              <w:rPr>
                <w:rFonts w:hint="eastAsia" w:ascii="宋体" w:hAnsi="宋体" w:eastAsia="宋体" w:cs="宋体"/>
                <w:spacing w:val="11"/>
                <w:highlight w:val="none"/>
                <w:lang w:val="en-US" w:eastAsia="zh-CN"/>
              </w:rPr>
              <w:t>被评标委员会认定为</w:t>
            </w:r>
            <w:r>
              <w:rPr>
                <w:rFonts w:hint="eastAsia" w:ascii="宋体" w:hAnsi="宋体" w:eastAsia="宋体" w:cs="宋体"/>
                <w:spacing w:val="11"/>
                <w:highlight w:val="none"/>
              </w:rPr>
              <w:t>串通投标、弄虚作假情形等违法行为。</w:t>
            </w:r>
          </w:p>
          <w:p w14:paraId="774056A2">
            <w:pPr>
              <w:pStyle w:val="8"/>
              <w:spacing w:before="65" w:line="276" w:lineRule="auto"/>
              <w:ind w:left="117" w:right="109" w:firstLine="380"/>
              <w:rPr>
                <w:rFonts w:hint="default" w:ascii="宋体" w:hAnsi="宋体" w:eastAsia="宋体" w:cs="宋体"/>
                <w:spacing w:val="11"/>
                <w:highlight w:val="none"/>
                <w:lang w:val="en-US" w:eastAsia="zh-CN"/>
              </w:rPr>
            </w:pPr>
            <w:r>
              <w:rPr>
                <w:rFonts w:hint="eastAsia" w:ascii="宋体" w:hAnsi="宋体" w:eastAsia="宋体" w:cs="宋体"/>
                <w:spacing w:val="11"/>
                <w:highlight w:val="none"/>
                <w:lang w:eastAsia="zh-CN"/>
              </w:rPr>
              <w:t>（</w:t>
            </w:r>
            <w:r>
              <w:rPr>
                <w:rFonts w:hint="eastAsia" w:ascii="宋体" w:hAnsi="宋体" w:eastAsia="宋体" w:cs="宋体"/>
                <w:spacing w:val="11"/>
                <w:highlight w:val="none"/>
                <w:lang w:val="en-US" w:eastAsia="zh-CN"/>
              </w:rPr>
              <w:t>14</w:t>
            </w:r>
            <w:r>
              <w:rPr>
                <w:rFonts w:hint="eastAsia" w:ascii="宋体" w:hAnsi="宋体" w:eastAsia="宋体" w:cs="宋体"/>
                <w:spacing w:val="11"/>
                <w:highlight w:val="none"/>
                <w:lang w:eastAsia="zh-CN"/>
              </w:rPr>
              <w:t>）</w:t>
            </w:r>
            <w:r>
              <w:rPr>
                <w:rFonts w:hint="eastAsia" w:ascii="宋体" w:hAnsi="宋体" w:eastAsia="宋体" w:cs="宋体"/>
                <w:spacing w:val="11"/>
                <w:highlight w:val="none"/>
                <w:lang w:val="en-US" w:eastAsia="zh-CN"/>
              </w:rPr>
              <w:t>递交的投标文件与所投标段一致。</w:t>
            </w:r>
          </w:p>
          <w:p w14:paraId="236DF1CA">
            <w:pPr>
              <w:pStyle w:val="8"/>
              <w:spacing w:before="32" w:line="275" w:lineRule="auto"/>
              <w:ind w:left="121" w:right="109" w:firstLine="386"/>
              <w:rPr>
                <w:b/>
                <w:bCs/>
                <w:spacing w:val="10"/>
              </w:rPr>
            </w:pPr>
            <w:r>
              <w:rPr>
                <w:b/>
                <w:bCs/>
                <w:spacing w:val="10"/>
              </w:rPr>
              <w:t>第一个信封（投标文件暗标部分）评审标准:</w:t>
            </w:r>
          </w:p>
          <w:p w14:paraId="0E0A021A">
            <w:pPr>
              <w:pStyle w:val="8"/>
              <w:spacing w:before="32" w:line="275" w:lineRule="auto"/>
              <w:ind w:left="121" w:right="109" w:firstLine="386"/>
              <w:rPr>
                <w:highlight w:val="none"/>
              </w:rPr>
            </w:pPr>
            <w:r>
              <w:rPr>
                <w:spacing w:val="7"/>
              </w:rPr>
              <w:t>（1）承包人建议书和承包人实施方案（暗标）编制符合招标文件第二</w:t>
            </w:r>
            <w:r>
              <w:rPr>
                <w:spacing w:val="4"/>
              </w:rPr>
              <w:t>章“投标人须知</w:t>
            </w:r>
            <w:r>
              <w:rPr>
                <w:spacing w:val="-60"/>
              </w:rPr>
              <w:t xml:space="preserve"> </w:t>
            </w:r>
            <w:r>
              <w:rPr>
                <w:spacing w:val="4"/>
              </w:rPr>
              <w:t>”第</w:t>
            </w:r>
            <w:r>
              <w:rPr>
                <w:rFonts w:hint="eastAsia"/>
                <w:spacing w:val="-39"/>
                <w:highlight w:val="none"/>
                <w:lang w:val="en-US" w:eastAsia="zh-CN"/>
              </w:rPr>
              <w:t xml:space="preserve">1 0 </w:t>
            </w:r>
            <w:r>
              <w:rPr>
                <w:spacing w:val="4"/>
                <w:highlight w:val="none"/>
              </w:rPr>
              <w:t>.</w:t>
            </w:r>
            <w:r>
              <w:rPr>
                <w:rFonts w:hint="eastAsia"/>
                <w:spacing w:val="4"/>
                <w:highlight w:val="none"/>
                <w:lang w:val="en-US" w:eastAsia="zh-CN"/>
              </w:rPr>
              <w:t>4</w:t>
            </w:r>
            <w:r>
              <w:rPr>
                <w:spacing w:val="-39"/>
                <w:highlight w:val="none"/>
              </w:rPr>
              <w:t xml:space="preserve"> </w:t>
            </w:r>
            <w:r>
              <w:rPr>
                <w:spacing w:val="4"/>
                <w:highlight w:val="none"/>
              </w:rPr>
              <w:t>款的规定。</w:t>
            </w:r>
          </w:p>
          <w:p w14:paraId="453DF16D">
            <w:pPr>
              <w:pStyle w:val="8"/>
              <w:spacing w:before="30" w:line="226" w:lineRule="auto"/>
              <w:ind w:left="113"/>
              <w:rPr>
                <w:rFonts w:hint="default" w:eastAsia="宋体"/>
                <w:b/>
                <w:bCs/>
                <w:highlight w:val="none"/>
                <w:lang w:val="en-US" w:eastAsia="zh-CN"/>
              </w:rPr>
            </w:pPr>
            <w:r>
              <w:rPr>
                <w:b/>
                <w:bCs/>
                <w:spacing w:val="8"/>
                <w:highlight w:val="none"/>
              </w:rPr>
              <w:t>第二个信封（报价文件）评审标准：</w:t>
            </w:r>
          </w:p>
          <w:p w14:paraId="22CB14BE">
            <w:pPr>
              <w:pStyle w:val="8"/>
              <w:spacing w:before="68" w:line="228" w:lineRule="auto"/>
              <w:ind w:left="507"/>
            </w:pPr>
            <w:r>
              <w:rPr>
                <w:spacing w:val="9"/>
              </w:rPr>
              <w:t>（1）投标文件按照招标文件规定的格式、内容填写，字迹清</w:t>
            </w:r>
            <w:r>
              <w:rPr>
                <w:spacing w:val="8"/>
              </w:rPr>
              <w:t>晰可辨：</w:t>
            </w:r>
          </w:p>
          <w:p w14:paraId="51F31254">
            <w:pPr>
              <w:pStyle w:val="8"/>
              <w:spacing w:before="64" w:line="273" w:lineRule="auto"/>
              <w:ind w:left="114" w:right="109" w:firstLine="384"/>
            </w:pPr>
            <w:r>
              <w:rPr>
                <w:spacing w:val="11"/>
              </w:rPr>
              <w:t>a.投标函按招标文件规定填报了项目名称、</w:t>
            </w:r>
            <w:r>
              <w:rPr>
                <w:rFonts w:hint="eastAsia"/>
                <w:spacing w:val="11"/>
                <w:lang w:val="en-US" w:eastAsia="zh-CN"/>
              </w:rPr>
              <w:t>标段号、</w:t>
            </w:r>
            <w:r>
              <w:rPr>
                <w:spacing w:val="11"/>
              </w:rPr>
              <w:t>补遗书编号（如</w:t>
            </w:r>
            <w:r>
              <w:rPr>
                <w:spacing w:val="10"/>
              </w:rPr>
              <w:t>有）、投</w:t>
            </w:r>
            <w:r>
              <w:t xml:space="preserve"> </w:t>
            </w:r>
            <w:r>
              <w:rPr>
                <w:spacing w:val="9"/>
              </w:rPr>
              <w:t>标价（包括大写金额和小写金额</w:t>
            </w:r>
            <w:r>
              <w:t>）；</w:t>
            </w:r>
          </w:p>
          <w:p w14:paraId="6555740F">
            <w:pPr>
              <w:pStyle w:val="8"/>
              <w:spacing w:before="35" w:line="226" w:lineRule="auto"/>
              <w:ind w:right="12"/>
              <w:jc w:val="right"/>
            </w:pPr>
            <w:r>
              <w:rPr>
                <w:spacing w:val="7"/>
              </w:rPr>
              <w:t>b.价格清单说明文字与招标文件规定一致，未进行实质性修改或删减；</w:t>
            </w:r>
          </w:p>
          <w:p w14:paraId="586EFB23">
            <w:pPr>
              <w:pStyle w:val="8"/>
              <w:spacing w:before="69" w:line="228" w:lineRule="auto"/>
              <w:ind w:left="501"/>
            </w:pPr>
            <w:r>
              <w:rPr>
                <w:spacing w:val="8"/>
              </w:rPr>
              <w:t>c.投标文件组成齐全完整，内容均按规定填写。</w:t>
            </w:r>
          </w:p>
          <w:p w14:paraId="123F7CC4">
            <w:pPr>
              <w:pStyle w:val="8"/>
              <w:spacing w:before="67" w:line="257" w:lineRule="auto"/>
              <w:ind w:left="114" w:right="109" w:firstLine="393"/>
            </w:pPr>
            <w:r>
              <w:rPr>
                <w:spacing w:val="7"/>
              </w:rPr>
              <w:t>（2）投标文件上法定代表人或其授权代理人的签字、投标人的单位章</w:t>
            </w:r>
            <w:r>
              <w:rPr>
                <w:spacing w:val="11"/>
              </w:rPr>
              <w:t xml:space="preserve"> </w:t>
            </w:r>
            <w:r>
              <w:rPr>
                <w:spacing w:val="8"/>
              </w:rPr>
              <w:t>盖章齐全，符合招标文件规定。</w:t>
            </w:r>
          </w:p>
          <w:p w14:paraId="1F51D2FB">
            <w:pPr>
              <w:pStyle w:val="8"/>
              <w:spacing w:before="69" w:line="258" w:lineRule="auto"/>
              <w:ind w:left="114" w:right="109" w:firstLine="393"/>
            </w:pPr>
            <w:r>
              <w:rPr>
                <w:spacing w:val="14"/>
              </w:rPr>
              <w:t>（3）投标报价未超过招标文件设定的最高投标限价和各分项最高限</w:t>
            </w:r>
            <w:r>
              <w:rPr>
                <w:spacing w:val="8"/>
              </w:rPr>
              <w:t xml:space="preserve"> </w:t>
            </w:r>
            <w:r>
              <w:t>价。</w:t>
            </w:r>
          </w:p>
          <w:p w14:paraId="09CCF985">
            <w:pPr>
              <w:pStyle w:val="8"/>
              <w:spacing w:before="67" w:line="226" w:lineRule="auto"/>
              <w:ind w:left="507"/>
            </w:pPr>
            <w:r>
              <w:rPr>
                <w:spacing w:val="8"/>
              </w:rPr>
              <w:t>（4）投标报价中的大写金额能够确定具体数值。</w:t>
            </w:r>
          </w:p>
          <w:p w14:paraId="0CE24F75">
            <w:pPr>
              <w:pStyle w:val="8"/>
              <w:spacing w:before="70" w:line="226" w:lineRule="auto"/>
              <w:ind w:left="507"/>
              <w:rPr>
                <w:highlight w:val="none"/>
              </w:rPr>
            </w:pPr>
            <w:r>
              <w:rPr>
                <w:spacing w:val="8"/>
                <w:highlight w:val="none"/>
              </w:rPr>
              <w:t>（5）同一投标人未提交两个以上不同的投标报价。</w:t>
            </w:r>
          </w:p>
          <w:p w14:paraId="5BFFF887">
            <w:pPr>
              <w:pStyle w:val="8"/>
              <w:spacing w:before="67" w:line="226" w:lineRule="auto"/>
              <w:ind w:left="507"/>
            </w:pPr>
            <w:r>
              <w:rPr>
                <w:spacing w:val="7"/>
              </w:rPr>
              <w:t>（6）投标人未提交调价函。</w:t>
            </w:r>
          </w:p>
          <w:p w14:paraId="5537E08A">
            <w:pPr>
              <w:pStyle w:val="8"/>
              <w:spacing w:before="68" w:line="228" w:lineRule="auto"/>
              <w:ind w:left="507"/>
              <w:rPr>
                <w:rFonts w:ascii="宋体" w:hAnsi="宋体" w:eastAsia="宋体" w:cs="宋体"/>
                <w:spacing w:val="9"/>
              </w:rPr>
            </w:pPr>
            <w:r>
              <w:rPr>
                <w:rFonts w:ascii="宋体" w:hAnsi="宋体" w:eastAsia="宋体" w:cs="宋体"/>
                <w:spacing w:val="9"/>
              </w:rPr>
              <w:t>（7）价格清单中的投标报价和投标函大写金额报价一致。</w:t>
            </w:r>
          </w:p>
          <w:p w14:paraId="1476434C">
            <w:pPr>
              <w:pStyle w:val="8"/>
              <w:spacing w:before="67" w:line="257" w:lineRule="auto"/>
              <w:ind w:left="114" w:right="109" w:firstLine="393"/>
              <w:rPr>
                <w:rFonts w:hint="eastAsia" w:ascii="宋体" w:hAnsi="宋体" w:eastAsia="宋体" w:cs="宋体"/>
                <w:spacing w:val="8"/>
                <w:lang w:eastAsia="zh-CN"/>
              </w:rPr>
            </w:pPr>
            <w:r>
              <w:rPr>
                <w:rFonts w:hint="eastAsia" w:ascii="宋体" w:hAnsi="宋体" w:eastAsia="宋体" w:cs="宋体"/>
                <w:spacing w:val="8"/>
                <w:lang w:eastAsia="zh-CN"/>
              </w:rPr>
              <w:t>(</w:t>
            </w:r>
            <w:r>
              <w:rPr>
                <w:rFonts w:hint="eastAsia" w:ascii="宋体" w:hAnsi="宋体" w:eastAsia="宋体" w:cs="宋体"/>
                <w:spacing w:val="8"/>
                <w:lang w:val="en-US" w:eastAsia="zh-CN"/>
              </w:rPr>
              <w:t>8</w:t>
            </w:r>
            <w:r>
              <w:rPr>
                <w:rFonts w:hint="eastAsia" w:ascii="宋体" w:hAnsi="宋体" w:eastAsia="宋体" w:cs="宋体"/>
                <w:spacing w:val="8"/>
                <w:lang w:eastAsia="zh-CN"/>
              </w:rPr>
              <w:t>)投标人不存在因投标人须知前附表3.2.5项规定被评标委员会认定为低于成本或</w:t>
            </w:r>
            <w:r>
              <w:rPr>
                <w:rFonts w:hint="eastAsia" w:ascii="宋体" w:hAnsi="宋体" w:eastAsia="宋体" w:cs="宋体"/>
                <w:spacing w:val="8"/>
                <w:lang w:val="en-US" w:eastAsia="zh-CN"/>
              </w:rPr>
              <w:t>影</w:t>
            </w:r>
            <w:r>
              <w:rPr>
                <w:rFonts w:hint="eastAsia" w:ascii="宋体" w:hAnsi="宋体" w:eastAsia="宋体" w:cs="宋体"/>
                <w:spacing w:val="8"/>
                <w:lang w:eastAsia="zh-CN"/>
              </w:rPr>
              <w:t>响履约的异常低价</w:t>
            </w:r>
            <w:r>
              <w:rPr>
                <w:rFonts w:hint="eastAsia" w:ascii="宋体" w:hAnsi="宋体" w:eastAsia="宋体" w:cs="宋体"/>
                <w:spacing w:val="8"/>
                <w:lang w:val="en-US" w:eastAsia="zh-CN"/>
              </w:rPr>
              <w:t>竞</w:t>
            </w:r>
            <w:r>
              <w:rPr>
                <w:rFonts w:hint="eastAsia" w:ascii="宋体" w:hAnsi="宋体" w:eastAsia="宋体" w:cs="宋体"/>
                <w:spacing w:val="8"/>
                <w:lang w:eastAsia="zh-CN"/>
              </w:rPr>
              <w:t>标的情形。</w:t>
            </w:r>
          </w:p>
          <w:p w14:paraId="2A956358">
            <w:pPr>
              <w:pStyle w:val="8"/>
              <w:spacing w:before="68" w:line="228" w:lineRule="auto"/>
              <w:ind w:left="507"/>
              <w:rPr>
                <w:rFonts w:hint="eastAsia" w:ascii="宋体" w:hAnsi="宋体" w:eastAsia="宋体" w:cs="宋体"/>
                <w:spacing w:val="9"/>
                <w:highlight w:val="none"/>
              </w:rPr>
            </w:pPr>
            <w:r>
              <w:rPr>
                <w:rFonts w:hint="eastAsia" w:ascii="宋体" w:hAnsi="宋体" w:eastAsia="宋体" w:cs="宋体"/>
                <w:spacing w:val="9"/>
                <w:highlight w:val="none"/>
                <w:lang w:val="en-US" w:eastAsia="zh-CN"/>
              </w:rPr>
              <w:t>（9）</w:t>
            </w:r>
            <w:r>
              <w:rPr>
                <w:rFonts w:hint="eastAsia" w:ascii="宋体" w:hAnsi="宋体" w:eastAsia="宋体" w:cs="宋体"/>
                <w:spacing w:val="9"/>
                <w:highlight w:val="none"/>
              </w:rPr>
              <w:t>投标人不存在投标人须知前附表4.4(1)、(3)项规定的情形</w:t>
            </w:r>
            <w:r>
              <w:rPr>
                <w:rFonts w:hint="eastAsia" w:ascii="宋体" w:hAnsi="宋体" w:eastAsia="宋体" w:cs="宋体"/>
                <w:spacing w:val="9"/>
                <w:highlight w:val="none"/>
                <w:lang w:eastAsia="zh-CN"/>
              </w:rPr>
              <w:t>。</w:t>
            </w:r>
          </w:p>
          <w:p w14:paraId="7FD05261">
            <w:pPr>
              <w:adjustRightInd w:val="0"/>
              <w:snapToGrid w:val="0"/>
              <w:ind w:firstLine="456" w:firstLineChars="200"/>
              <w:rPr>
                <w:rFonts w:hint="eastAsia" w:ascii="宋体" w:hAnsi="宋体"/>
                <w:szCs w:val="21"/>
              </w:rPr>
            </w:pPr>
            <w:r>
              <w:rPr>
                <w:rFonts w:hint="eastAsia" w:ascii="宋体" w:hAnsi="宋体" w:eastAsia="宋体" w:cs="宋体"/>
                <w:spacing w:val="9"/>
                <w:highlight w:val="none"/>
              </w:rPr>
              <w:t>（</w:t>
            </w:r>
            <w:r>
              <w:rPr>
                <w:rFonts w:hint="eastAsia" w:ascii="宋体" w:hAnsi="宋体" w:eastAsia="宋体" w:cs="宋体"/>
                <w:spacing w:val="9"/>
                <w:highlight w:val="none"/>
                <w:lang w:val="en-US" w:eastAsia="zh-CN"/>
              </w:rPr>
              <w:t>10</w:t>
            </w:r>
            <w:r>
              <w:rPr>
                <w:rFonts w:hint="eastAsia" w:ascii="宋体" w:hAnsi="宋体" w:eastAsia="宋体" w:cs="宋体"/>
                <w:spacing w:val="9"/>
                <w:highlight w:val="none"/>
              </w:rPr>
              <w:t>）投标人不存在</w:t>
            </w:r>
            <w:r>
              <w:rPr>
                <w:rFonts w:hint="eastAsia" w:ascii="宋体" w:hAnsi="宋体" w:eastAsia="宋体" w:cs="宋体"/>
                <w:spacing w:val="9"/>
                <w:highlight w:val="none"/>
                <w:lang w:val="en-US" w:eastAsia="zh-CN"/>
              </w:rPr>
              <w:t>因</w:t>
            </w:r>
            <w:r>
              <w:rPr>
                <w:rFonts w:hint="eastAsia" w:ascii="宋体" w:hAnsi="宋体" w:eastAsia="宋体" w:cs="宋体"/>
                <w:spacing w:val="9"/>
                <w:highlight w:val="none"/>
              </w:rPr>
              <w:t>投标人须知前附表4.4(2)项规定的情形</w:t>
            </w:r>
            <w:r>
              <w:rPr>
                <w:rFonts w:hint="eastAsia" w:ascii="宋体" w:hAnsi="宋体" w:eastAsia="宋体" w:cs="宋体"/>
                <w:spacing w:val="9"/>
                <w:highlight w:val="none"/>
                <w:lang w:val="en-US" w:eastAsia="zh-CN"/>
              </w:rPr>
              <w:t>被评标委员会认定为</w:t>
            </w:r>
            <w:r>
              <w:rPr>
                <w:rFonts w:hint="eastAsia" w:ascii="宋体" w:hAnsi="宋体" w:eastAsia="宋体" w:cs="宋体"/>
                <w:spacing w:val="9"/>
                <w:highlight w:val="none"/>
              </w:rPr>
              <w:t>串通投标、弄虚作假情形等违法行为</w:t>
            </w:r>
            <w:r>
              <w:rPr>
                <w:rFonts w:hint="eastAsia" w:ascii="宋体" w:hAnsi="宋体" w:eastAsia="宋体" w:cs="宋体"/>
                <w:spacing w:val="9"/>
                <w:highlight w:val="none"/>
                <w:lang w:val="en-US" w:eastAsia="zh-CN"/>
              </w:rPr>
              <w:t>。</w:t>
            </w:r>
          </w:p>
        </w:tc>
      </w:tr>
      <w:tr w14:paraId="3C09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832" w:type="dxa"/>
            <w:noWrap w:val="0"/>
            <w:tcMar>
              <w:top w:w="113" w:type="dxa"/>
              <w:left w:w="51" w:type="dxa"/>
              <w:bottom w:w="113" w:type="dxa"/>
              <w:right w:w="51" w:type="dxa"/>
            </w:tcMar>
            <w:vAlign w:val="center"/>
          </w:tcPr>
          <w:p w14:paraId="2DCDACA1">
            <w:pPr>
              <w:adjustRightInd w:val="0"/>
              <w:snapToGrid w:val="0"/>
              <w:jc w:val="center"/>
              <w:rPr>
                <w:rFonts w:ascii="宋体" w:hAnsi="宋体" w:cs="宋体"/>
                <w:szCs w:val="21"/>
              </w:rPr>
            </w:pPr>
            <w:r>
              <w:rPr>
                <w:rFonts w:hint="eastAsia" w:ascii="宋体" w:hAnsi="宋体" w:cs="宋体"/>
                <w:szCs w:val="21"/>
              </w:rPr>
              <w:t>2.1.2</w:t>
            </w:r>
          </w:p>
        </w:tc>
        <w:tc>
          <w:tcPr>
            <w:tcW w:w="1008" w:type="dxa"/>
            <w:noWrap w:val="0"/>
            <w:tcMar>
              <w:top w:w="113" w:type="dxa"/>
              <w:left w:w="51" w:type="dxa"/>
              <w:bottom w:w="113" w:type="dxa"/>
              <w:right w:w="51" w:type="dxa"/>
            </w:tcMar>
            <w:vAlign w:val="center"/>
          </w:tcPr>
          <w:p w14:paraId="15E4BBEC">
            <w:pPr>
              <w:adjustRightInd w:val="0"/>
              <w:snapToGrid w:val="0"/>
              <w:jc w:val="center"/>
              <w:rPr>
                <w:rFonts w:ascii="宋体" w:hAnsi="宋体" w:cs="宋体"/>
                <w:szCs w:val="21"/>
              </w:rPr>
            </w:pPr>
            <w:r>
              <w:rPr>
                <w:rFonts w:hint="eastAsia" w:ascii="宋体" w:hAnsi="宋体" w:cs="宋体"/>
                <w:szCs w:val="21"/>
              </w:rPr>
              <w:t>资格评审标准</w:t>
            </w:r>
          </w:p>
        </w:tc>
        <w:tc>
          <w:tcPr>
            <w:tcW w:w="7520" w:type="dxa"/>
            <w:noWrap w:val="0"/>
            <w:tcMar>
              <w:top w:w="113" w:type="dxa"/>
              <w:left w:w="51" w:type="dxa"/>
              <w:bottom w:w="113" w:type="dxa"/>
              <w:right w:w="51" w:type="dxa"/>
            </w:tcMar>
            <w:vAlign w:val="center"/>
          </w:tcPr>
          <w:p w14:paraId="58FC80CE">
            <w:pPr>
              <w:pStyle w:val="8"/>
              <w:spacing w:before="32" w:line="259" w:lineRule="auto"/>
              <w:ind w:left="117" w:right="109" w:firstLine="390"/>
            </w:pPr>
            <w:r>
              <w:rPr>
                <w:spacing w:val="7"/>
              </w:rPr>
              <w:t>（1）投标人具备有效的营业执照、资质证书、安全生产许可证和基本</w:t>
            </w:r>
            <w:r>
              <w:rPr>
                <w:spacing w:val="8"/>
              </w:rPr>
              <w:t>账户开户许可证（或基本存款账户信息）。</w:t>
            </w:r>
          </w:p>
          <w:p w14:paraId="58745D12">
            <w:pPr>
              <w:pStyle w:val="8"/>
              <w:spacing w:before="65" w:line="228" w:lineRule="auto"/>
              <w:ind w:left="507"/>
            </w:pPr>
            <w:r>
              <w:rPr>
                <w:spacing w:val="8"/>
              </w:rPr>
              <w:t>（2）投标人的资质等级符合招标文件规定。</w:t>
            </w:r>
          </w:p>
          <w:p w14:paraId="5070F846">
            <w:pPr>
              <w:pStyle w:val="8"/>
              <w:spacing w:before="67" w:line="228" w:lineRule="auto"/>
              <w:ind w:left="507"/>
            </w:pPr>
            <w:r>
              <w:rPr>
                <w:spacing w:val="8"/>
              </w:rPr>
              <w:t>（3）投标人的业绩符合招标文件规定。</w:t>
            </w:r>
          </w:p>
          <w:p w14:paraId="0694EEAF">
            <w:pPr>
              <w:pStyle w:val="8"/>
              <w:spacing w:before="65" w:line="227" w:lineRule="auto"/>
              <w:ind w:left="507"/>
            </w:pPr>
            <w:r>
              <w:rPr>
                <w:spacing w:val="8"/>
              </w:rPr>
              <w:t>（4）投标人的信誉符合招标文件规定。</w:t>
            </w:r>
          </w:p>
          <w:p w14:paraId="1B723269">
            <w:pPr>
              <w:pStyle w:val="8"/>
              <w:spacing w:before="65" w:line="228" w:lineRule="auto"/>
              <w:ind w:left="507"/>
            </w:pPr>
            <w:r>
              <w:rPr>
                <w:spacing w:val="9"/>
              </w:rPr>
              <w:t>（5）投标人的项目经理</w:t>
            </w:r>
            <w:r>
              <w:rPr>
                <w:spacing w:val="8"/>
              </w:rPr>
              <w:t>符合招标文件规定。</w:t>
            </w:r>
          </w:p>
          <w:p w14:paraId="304E7931">
            <w:pPr>
              <w:pStyle w:val="8"/>
              <w:spacing w:before="68" w:line="259" w:lineRule="auto"/>
              <w:ind w:left="116" w:right="109" w:firstLine="391"/>
            </w:pPr>
            <w:r>
              <w:rPr>
                <w:spacing w:val="4"/>
              </w:rPr>
              <w:t>（6）投标人不存在第二章“投标人须知</w:t>
            </w:r>
            <w:r>
              <w:rPr>
                <w:spacing w:val="-70"/>
              </w:rPr>
              <w:t xml:space="preserve"> </w:t>
            </w:r>
            <w:r>
              <w:rPr>
                <w:spacing w:val="4"/>
              </w:rPr>
              <w:t>”第</w:t>
            </w:r>
            <w:r>
              <w:rPr>
                <w:spacing w:val="29"/>
              </w:rPr>
              <w:t xml:space="preserve"> </w:t>
            </w:r>
            <w:r>
              <w:rPr>
                <w:spacing w:val="4"/>
              </w:rPr>
              <w:t>1.4.3 项或第</w:t>
            </w:r>
            <w:r>
              <w:rPr>
                <w:spacing w:val="29"/>
              </w:rPr>
              <w:t xml:space="preserve"> </w:t>
            </w:r>
            <w:r>
              <w:rPr>
                <w:spacing w:val="4"/>
              </w:rPr>
              <w:t>1.4</w:t>
            </w:r>
            <w:r>
              <w:rPr>
                <w:spacing w:val="3"/>
              </w:rPr>
              <w:t>.4 项</w:t>
            </w:r>
            <w:r>
              <w:t xml:space="preserve"> </w:t>
            </w:r>
            <w:r>
              <w:rPr>
                <w:spacing w:val="5"/>
              </w:rPr>
              <w:t>或第</w:t>
            </w:r>
            <w:r>
              <w:rPr>
                <w:spacing w:val="-21"/>
              </w:rPr>
              <w:t xml:space="preserve"> </w:t>
            </w:r>
            <w:r>
              <w:rPr>
                <w:spacing w:val="5"/>
              </w:rPr>
              <w:t>1.4.5</w:t>
            </w:r>
            <w:r>
              <w:rPr>
                <w:spacing w:val="-35"/>
              </w:rPr>
              <w:t xml:space="preserve"> </w:t>
            </w:r>
            <w:r>
              <w:rPr>
                <w:spacing w:val="5"/>
              </w:rPr>
              <w:t>项规定的任何一种情形。</w:t>
            </w:r>
          </w:p>
          <w:p w14:paraId="65F8C8FC">
            <w:pPr>
              <w:pStyle w:val="4"/>
              <w:adjustRightInd w:val="0"/>
              <w:snapToGrid w:val="0"/>
              <w:spacing w:after="0"/>
              <w:ind w:firstLine="672" w:firstLineChars="300"/>
              <w:rPr>
                <w:rFonts w:hint="eastAsia"/>
              </w:rPr>
            </w:pPr>
            <w:r>
              <w:rPr>
                <w:spacing w:val="7"/>
              </w:rPr>
              <w:t>（7）以联合体形式参加投标的，联合体各方均未再以自己名义单独或</w:t>
            </w:r>
            <w:r>
              <w:rPr>
                <w:spacing w:val="6"/>
              </w:rPr>
              <w:t>参加其他联合体的投标；独立参与投标的，投标人未同时参加</w:t>
            </w:r>
            <w:r>
              <w:rPr>
                <w:spacing w:val="5"/>
              </w:rPr>
              <w:t>联合体投标。</w:t>
            </w:r>
          </w:p>
        </w:tc>
      </w:tr>
      <w:tr w14:paraId="2DD1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noWrap w:val="0"/>
            <w:tcMar>
              <w:top w:w="113" w:type="dxa"/>
              <w:left w:w="51" w:type="dxa"/>
              <w:bottom w:w="113" w:type="dxa"/>
              <w:right w:w="51" w:type="dxa"/>
            </w:tcMar>
            <w:vAlign w:val="center"/>
          </w:tcPr>
          <w:p w14:paraId="6BC28A00">
            <w:pPr>
              <w:adjustRightInd w:val="0"/>
              <w:snapToGrid w:val="0"/>
              <w:jc w:val="center"/>
              <w:rPr>
                <w:rFonts w:ascii="宋体" w:hAnsi="宋体" w:cs="宋体"/>
                <w:szCs w:val="21"/>
              </w:rPr>
            </w:pPr>
            <w:r>
              <w:rPr>
                <w:rFonts w:hint="eastAsia" w:ascii="宋体" w:hAnsi="宋体" w:cs="宋体"/>
                <w:szCs w:val="21"/>
              </w:rPr>
              <w:t>2.2.1</w:t>
            </w:r>
          </w:p>
        </w:tc>
        <w:tc>
          <w:tcPr>
            <w:tcW w:w="1008" w:type="dxa"/>
            <w:noWrap w:val="0"/>
            <w:tcMar>
              <w:top w:w="113" w:type="dxa"/>
              <w:left w:w="51" w:type="dxa"/>
              <w:bottom w:w="113" w:type="dxa"/>
              <w:right w:w="51" w:type="dxa"/>
            </w:tcMar>
            <w:vAlign w:val="center"/>
          </w:tcPr>
          <w:p w14:paraId="08196CAF">
            <w:pPr>
              <w:adjustRightInd w:val="0"/>
              <w:snapToGrid w:val="0"/>
              <w:jc w:val="center"/>
              <w:rPr>
                <w:rFonts w:ascii="宋体" w:hAnsi="宋体" w:cs="宋体"/>
                <w:szCs w:val="21"/>
              </w:rPr>
            </w:pPr>
            <w:r>
              <w:rPr>
                <w:rFonts w:hint="eastAsia" w:ascii="宋体" w:hAnsi="宋体"/>
                <w:szCs w:val="21"/>
              </w:rPr>
              <w:t>分值构成（总分值100分）</w:t>
            </w:r>
          </w:p>
        </w:tc>
        <w:tc>
          <w:tcPr>
            <w:tcW w:w="7520" w:type="dxa"/>
            <w:noWrap w:val="0"/>
            <w:tcMar>
              <w:top w:w="113" w:type="dxa"/>
              <w:left w:w="51" w:type="dxa"/>
              <w:bottom w:w="113" w:type="dxa"/>
              <w:right w:w="51" w:type="dxa"/>
            </w:tcMar>
            <w:vAlign w:val="center"/>
          </w:tcPr>
          <w:p w14:paraId="569AD46C">
            <w:pPr>
              <w:pStyle w:val="8"/>
              <w:spacing w:before="55" w:line="228" w:lineRule="auto"/>
              <w:ind w:left="113"/>
              <w:jc w:val="left"/>
            </w:pPr>
            <w:r>
              <w:rPr>
                <w:b/>
                <w:bCs/>
                <w:spacing w:val="7"/>
              </w:rPr>
              <w:t>第一个信封（商务及技术文件）评分分值构成：</w:t>
            </w:r>
          </w:p>
          <w:p w14:paraId="65B6AE0E">
            <w:pPr>
              <w:pStyle w:val="8"/>
              <w:spacing w:before="62" w:line="227" w:lineRule="auto"/>
              <w:jc w:val="left"/>
            </w:pPr>
            <w:r>
              <w:rPr>
                <w:spacing w:val="2"/>
              </w:rPr>
              <w:t>承包人建议书</w:t>
            </w:r>
            <w:r>
              <w:rPr>
                <w:spacing w:val="34"/>
              </w:rPr>
              <w:t xml:space="preserve"> </w:t>
            </w:r>
            <w:r>
              <w:rPr>
                <w:spacing w:val="2"/>
              </w:rPr>
              <w:t xml:space="preserve">： </w:t>
            </w:r>
            <w:r>
              <w:rPr>
                <w:spacing w:val="-76"/>
                <w:u w:val="single" w:color="auto"/>
              </w:rPr>
              <w:t xml:space="preserve"> </w:t>
            </w:r>
            <w:r>
              <w:rPr>
                <w:spacing w:val="2"/>
                <w:u w:val="single" w:color="auto"/>
              </w:rPr>
              <w:t>15</w:t>
            </w:r>
            <w:r>
              <w:rPr>
                <w:spacing w:val="-35"/>
                <w:u w:val="single" w:color="auto"/>
              </w:rPr>
              <w:t xml:space="preserve"> </w:t>
            </w:r>
            <w:r>
              <w:rPr>
                <w:spacing w:val="2"/>
              </w:rPr>
              <w:t>分</w:t>
            </w:r>
          </w:p>
          <w:p w14:paraId="45E047A1">
            <w:pPr>
              <w:pStyle w:val="8"/>
              <w:spacing w:before="39" w:line="228" w:lineRule="auto"/>
              <w:jc w:val="left"/>
            </w:pPr>
            <w:r>
              <w:rPr>
                <w:spacing w:val="7"/>
              </w:rPr>
              <w:t>承包人实施计划：</w:t>
            </w:r>
            <w:r>
              <w:rPr>
                <w:spacing w:val="7"/>
                <w:u w:val="single" w:color="auto"/>
              </w:rPr>
              <w:t>20</w:t>
            </w:r>
            <w:r>
              <w:rPr>
                <w:spacing w:val="-32"/>
                <w:u w:val="single" w:color="auto"/>
              </w:rPr>
              <w:t xml:space="preserve"> </w:t>
            </w:r>
            <w:r>
              <w:rPr>
                <w:spacing w:val="7"/>
              </w:rPr>
              <w:t>分</w:t>
            </w:r>
          </w:p>
          <w:p w14:paraId="70CE6C82">
            <w:pPr>
              <w:pStyle w:val="8"/>
              <w:spacing w:before="40" w:line="228" w:lineRule="auto"/>
              <w:jc w:val="left"/>
            </w:pPr>
            <w:r>
              <w:rPr>
                <w:spacing w:val="-1"/>
              </w:rPr>
              <w:t>业</w:t>
            </w:r>
            <w:r>
              <w:rPr>
                <w:rFonts w:hint="eastAsia"/>
                <w:spacing w:val="-1"/>
                <w:lang w:val="en-US" w:eastAsia="zh-CN"/>
              </w:rPr>
              <w:t xml:space="preserve">     </w:t>
            </w:r>
            <w:r>
              <w:rPr>
                <w:spacing w:val="-1"/>
              </w:rPr>
              <w:t>绩：</w:t>
            </w:r>
            <w:r>
              <w:rPr>
                <w:spacing w:val="6"/>
              </w:rPr>
              <w:t xml:space="preserve"> </w:t>
            </w:r>
            <w:r>
              <w:rPr>
                <w:rFonts w:hint="eastAsia"/>
                <w:spacing w:val="6"/>
                <w:lang w:val="en-US" w:eastAsia="zh-CN"/>
              </w:rPr>
              <w:t xml:space="preserve">    </w:t>
            </w:r>
            <w:r>
              <w:rPr>
                <w:spacing w:val="6"/>
              </w:rPr>
              <w:t xml:space="preserve"> </w:t>
            </w:r>
            <w:r>
              <w:rPr>
                <w:spacing w:val="-73"/>
                <w:u w:val="single" w:color="auto"/>
              </w:rPr>
              <w:t xml:space="preserve"> </w:t>
            </w:r>
            <w:r>
              <w:rPr>
                <w:spacing w:val="-1"/>
                <w:u w:val="single" w:color="auto"/>
              </w:rPr>
              <w:t>1</w:t>
            </w:r>
            <w:r>
              <w:rPr>
                <w:rFonts w:hint="eastAsia"/>
                <w:spacing w:val="-1"/>
                <w:u w:val="single" w:color="auto"/>
                <w:lang w:val="en-US" w:eastAsia="zh-CN"/>
              </w:rPr>
              <w:t>5</w:t>
            </w:r>
            <w:r>
              <w:rPr>
                <w:spacing w:val="-35"/>
                <w:u w:val="single" w:color="auto"/>
              </w:rPr>
              <w:t xml:space="preserve"> </w:t>
            </w:r>
            <w:r>
              <w:rPr>
                <w:spacing w:val="-1"/>
              </w:rPr>
              <w:t>分</w:t>
            </w:r>
          </w:p>
          <w:p w14:paraId="42139A10">
            <w:pPr>
              <w:pStyle w:val="8"/>
              <w:spacing w:before="43" w:line="226" w:lineRule="auto"/>
              <w:ind w:left="113"/>
              <w:jc w:val="left"/>
            </w:pPr>
            <w:r>
              <w:rPr>
                <w:b/>
                <w:bCs/>
                <w:spacing w:val="7"/>
              </w:rPr>
              <w:t>第二个信封（报价文件）评分分值构成：</w:t>
            </w:r>
          </w:p>
          <w:p w14:paraId="690AF3C1">
            <w:pPr>
              <w:adjustRightInd w:val="0"/>
              <w:snapToGrid w:val="0"/>
              <w:ind w:firstLine="630" w:firstLineChars="284"/>
              <w:jc w:val="left"/>
              <w:rPr>
                <w:rFonts w:ascii="宋体" w:hAnsi="宋体"/>
                <w:szCs w:val="21"/>
              </w:rPr>
            </w:pPr>
            <w:r>
              <w:rPr>
                <w:spacing w:val="6"/>
              </w:rPr>
              <w:t>评标价：</w:t>
            </w:r>
            <w:r>
              <w:rPr>
                <w:strike w:val="0"/>
                <w:dstrike w:val="0"/>
                <w:spacing w:val="6"/>
                <w:highlight w:val="none"/>
                <w:u w:val="single" w:color="auto"/>
              </w:rPr>
              <w:t>50</w:t>
            </w:r>
            <w:r>
              <w:rPr>
                <w:spacing w:val="6"/>
              </w:rPr>
              <w:t>分</w:t>
            </w:r>
          </w:p>
        </w:tc>
      </w:tr>
      <w:tr w14:paraId="5A09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32" w:type="dxa"/>
            <w:noWrap w:val="0"/>
            <w:tcMar>
              <w:top w:w="113" w:type="dxa"/>
              <w:left w:w="51" w:type="dxa"/>
              <w:bottom w:w="113" w:type="dxa"/>
              <w:right w:w="51" w:type="dxa"/>
            </w:tcMar>
            <w:vAlign w:val="center"/>
          </w:tcPr>
          <w:p w14:paraId="5173402B">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.2.2</w:t>
            </w:r>
          </w:p>
        </w:tc>
        <w:tc>
          <w:tcPr>
            <w:tcW w:w="1008" w:type="dxa"/>
            <w:noWrap w:val="0"/>
            <w:tcMar>
              <w:top w:w="113" w:type="dxa"/>
              <w:left w:w="51" w:type="dxa"/>
              <w:bottom w:w="113" w:type="dxa"/>
              <w:right w:w="51" w:type="dxa"/>
            </w:tcMar>
            <w:vAlign w:val="center"/>
          </w:tcPr>
          <w:p w14:paraId="5B7657F8">
            <w:pPr>
              <w:adjustRightInd w:val="0"/>
              <w:snapToGrid w:val="0"/>
              <w:jc w:val="center"/>
              <w:rPr>
                <w:rFonts w:ascii="宋体" w:hAnsi="宋体"/>
                <w:szCs w:val="21"/>
              </w:rPr>
            </w:pPr>
            <w:r>
              <w:rPr>
                <w:rFonts w:hint="eastAsia" w:ascii="宋体" w:hAnsi="宋体"/>
                <w:szCs w:val="21"/>
                <w:highlight w:val="none"/>
              </w:rPr>
              <w:t>评标基准价计算方法</w:t>
            </w:r>
          </w:p>
        </w:tc>
        <w:tc>
          <w:tcPr>
            <w:tcW w:w="7520" w:type="dxa"/>
            <w:noWrap w:val="0"/>
            <w:tcMar>
              <w:top w:w="113" w:type="dxa"/>
              <w:left w:w="51" w:type="dxa"/>
              <w:bottom w:w="113" w:type="dxa"/>
              <w:right w:w="51" w:type="dxa"/>
            </w:tcMar>
            <w:vAlign w:val="center"/>
          </w:tcPr>
          <w:p w14:paraId="533F2B3D">
            <w:pPr>
              <w:pStyle w:val="8"/>
              <w:spacing w:before="39" w:line="228" w:lineRule="auto"/>
              <w:jc w:val="left"/>
              <w:rPr>
                <w:spacing w:val="7"/>
              </w:rPr>
            </w:pPr>
            <w:r>
              <w:rPr>
                <w:spacing w:val="7"/>
              </w:rPr>
              <w:t>（1）评标价的确定：</w:t>
            </w:r>
          </w:p>
          <w:p w14:paraId="454F8858">
            <w:pPr>
              <w:pStyle w:val="8"/>
              <w:spacing w:before="39" w:line="228" w:lineRule="auto"/>
              <w:jc w:val="left"/>
              <w:rPr>
                <w:spacing w:val="7"/>
              </w:rPr>
            </w:pPr>
            <w:r>
              <w:rPr>
                <w:spacing w:val="7"/>
              </w:rPr>
              <w:t>评标价=投标函文字报价</w:t>
            </w:r>
          </w:p>
          <w:p w14:paraId="707B79E3">
            <w:pPr>
              <w:pStyle w:val="8"/>
              <w:spacing w:before="39" w:line="228" w:lineRule="auto"/>
              <w:jc w:val="left"/>
              <w:rPr>
                <w:spacing w:val="7"/>
              </w:rPr>
            </w:pPr>
            <w:r>
              <w:rPr>
                <w:spacing w:val="7"/>
              </w:rPr>
              <w:t>（2）评标价平均值的计算：</w:t>
            </w:r>
          </w:p>
          <w:p w14:paraId="73161B05">
            <w:pPr>
              <w:pStyle w:val="8"/>
              <w:spacing w:before="39" w:line="228" w:lineRule="auto"/>
              <w:jc w:val="left"/>
              <w:rPr>
                <w:spacing w:val="7"/>
              </w:rPr>
            </w:pPr>
            <w:r>
              <w:rPr>
                <w:spacing w:val="7"/>
              </w:rPr>
              <w:t>除按第二章“投标人须知 ”第 5.2.3 项规定开标现场被宣布为不进入评标基准价计算的投标报价之外，所有投标人的评标价去掉一个最高值和一个最低值后的算术平均值即为评标价平均值（如果参与评标价平均值计算的有效投标人少于 5 家时，则计算评标价平均值时不去掉最高值和最低值）。</w:t>
            </w:r>
          </w:p>
          <w:p w14:paraId="66783F18">
            <w:pPr>
              <w:pStyle w:val="8"/>
              <w:spacing w:before="39" w:line="228" w:lineRule="auto"/>
              <w:jc w:val="left"/>
              <w:rPr>
                <w:spacing w:val="7"/>
              </w:rPr>
            </w:pPr>
            <w:r>
              <w:rPr>
                <w:spacing w:val="7"/>
              </w:rPr>
              <w:t>（3）评标基准价的确定：</w:t>
            </w:r>
          </w:p>
          <w:p w14:paraId="3FDC1EA1">
            <w:pPr>
              <w:pStyle w:val="8"/>
              <w:spacing w:before="39" w:line="228" w:lineRule="auto"/>
              <w:jc w:val="left"/>
              <w:rPr>
                <w:spacing w:val="7"/>
              </w:rPr>
            </w:pPr>
            <w:r>
              <w:rPr>
                <w:spacing w:val="7"/>
              </w:rPr>
              <w:t>将评标价平均值直接作为评标基准价，保留两位小数。</w:t>
            </w:r>
          </w:p>
          <w:p w14:paraId="7E4755F1">
            <w:pPr>
              <w:pStyle w:val="8"/>
              <w:spacing w:before="39" w:line="228" w:lineRule="auto"/>
              <w:jc w:val="left"/>
              <w:rPr>
                <w:rFonts w:hint="eastAsia"/>
              </w:rPr>
            </w:pPr>
            <w:r>
              <w:rPr>
                <w:spacing w:val="7"/>
              </w:rPr>
              <w:t>在评标过程中，评标委员会应对招标人计算的评标基准价进行复核， 存在计算错误的应予以修正并在评标报告中作出说明。除此之外，评标基 准价在整个评标期间保持不变，不随任何因素发生变化。</w:t>
            </w:r>
          </w:p>
        </w:tc>
      </w:tr>
      <w:tr w14:paraId="648C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32" w:type="dxa"/>
            <w:noWrap w:val="0"/>
            <w:tcMar>
              <w:top w:w="113" w:type="dxa"/>
              <w:left w:w="51" w:type="dxa"/>
              <w:bottom w:w="113" w:type="dxa"/>
              <w:right w:w="51" w:type="dxa"/>
            </w:tcMar>
            <w:vAlign w:val="center"/>
          </w:tcPr>
          <w:p w14:paraId="4C19C130">
            <w:pPr>
              <w:adjustRightInd w:val="0"/>
              <w:snapToGrid w:val="0"/>
              <w:jc w:val="center"/>
              <w:rPr>
                <w:rFonts w:ascii="宋体" w:hAnsi="宋体" w:cs="宋体"/>
                <w:szCs w:val="21"/>
              </w:rPr>
            </w:pPr>
            <w:r>
              <w:rPr>
                <w:rFonts w:hint="eastAsia" w:ascii="宋体" w:hAnsi="宋体" w:cs="宋体"/>
                <w:szCs w:val="21"/>
              </w:rPr>
              <w:t>2.2.3</w:t>
            </w:r>
          </w:p>
        </w:tc>
        <w:tc>
          <w:tcPr>
            <w:tcW w:w="1008" w:type="dxa"/>
            <w:noWrap w:val="0"/>
            <w:tcMar>
              <w:top w:w="113" w:type="dxa"/>
              <w:left w:w="51" w:type="dxa"/>
              <w:bottom w:w="113" w:type="dxa"/>
              <w:right w:w="51" w:type="dxa"/>
            </w:tcMar>
            <w:vAlign w:val="center"/>
          </w:tcPr>
          <w:p w14:paraId="28C63655">
            <w:pPr>
              <w:adjustRightInd w:val="0"/>
              <w:snapToGrid w:val="0"/>
              <w:jc w:val="center"/>
              <w:rPr>
                <w:rFonts w:ascii="宋体" w:hAnsi="宋体"/>
                <w:szCs w:val="21"/>
              </w:rPr>
            </w:pPr>
            <w:r>
              <w:rPr>
                <w:rFonts w:hint="eastAsia" w:ascii="宋体" w:hAnsi="宋体"/>
                <w:szCs w:val="21"/>
              </w:rPr>
              <w:t>评标价</w:t>
            </w:r>
            <w:r>
              <w:rPr>
                <w:rFonts w:ascii="宋体" w:hAnsi="宋体"/>
                <w:szCs w:val="21"/>
              </w:rPr>
              <w:t>的偏差率</w:t>
            </w:r>
            <w:r>
              <w:rPr>
                <w:rFonts w:hint="eastAsia" w:ascii="宋体" w:hAnsi="宋体"/>
                <w:szCs w:val="21"/>
              </w:rPr>
              <w:t>计算公式</w:t>
            </w:r>
          </w:p>
        </w:tc>
        <w:tc>
          <w:tcPr>
            <w:tcW w:w="7520" w:type="dxa"/>
            <w:noWrap w:val="0"/>
            <w:tcMar>
              <w:top w:w="113" w:type="dxa"/>
              <w:left w:w="51" w:type="dxa"/>
              <w:bottom w:w="113" w:type="dxa"/>
              <w:right w:w="51" w:type="dxa"/>
            </w:tcMar>
            <w:vAlign w:val="center"/>
          </w:tcPr>
          <w:p w14:paraId="1D262230">
            <w:pPr>
              <w:adjustRightInd w:val="0"/>
              <w:snapToGrid w:val="0"/>
              <w:ind w:firstLine="226" w:firstLineChars="100"/>
              <w:rPr>
                <w:rFonts w:ascii="宋体" w:hAnsi="宋体"/>
                <w:szCs w:val="21"/>
              </w:rPr>
            </w:pPr>
            <w:r>
              <w:rPr>
                <w:spacing w:val="8"/>
              </w:rPr>
              <w:t>偏差率=100%×（投标人评标价-评标基准价）/评标基准价</w:t>
            </w:r>
          </w:p>
        </w:tc>
      </w:tr>
      <w:tr w14:paraId="5206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32" w:type="dxa"/>
            <w:noWrap w:val="0"/>
            <w:tcMar>
              <w:top w:w="113" w:type="dxa"/>
              <w:left w:w="51" w:type="dxa"/>
              <w:bottom w:w="113" w:type="dxa"/>
              <w:right w:w="51" w:type="dxa"/>
            </w:tcMar>
            <w:vAlign w:val="center"/>
          </w:tcPr>
          <w:p w14:paraId="7DC50716">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.2.4</w:t>
            </w:r>
          </w:p>
        </w:tc>
        <w:tc>
          <w:tcPr>
            <w:tcW w:w="1008" w:type="dxa"/>
            <w:noWrap w:val="0"/>
            <w:tcMar>
              <w:top w:w="113" w:type="dxa"/>
              <w:left w:w="51" w:type="dxa"/>
              <w:bottom w:w="113" w:type="dxa"/>
              <w:right w:w="51" w:type="dxa"/>
            </w:tcMar>
            <w:vAlign w:val="center"/>
          </w:tcPr>
          <w:p w14:paraId="6DEB5234">
            <w:pPr>
              <w:adjustRightInd w:val="0"/>
              <w:snapToGrid w:val="0"/>
              <w:jc w:val="center"/>
              <w:rPr>
                <w:rFonts w:hint="eastAsia" w:ascii="宋体" w:hAnsi="宋体"/>
                <w:szCs w:val="21"/>
              </w:rPr>
            </w:pPr>
            <w:r>
              <w:rPr>
                <w:rFonts w:hint="eastAsia" w:ascii="宋体" w:hAnsi="宋体"/>
                <w:szCs w:val="21"/>
              </w:rPr>
              <w:t>评分</w:t>
            </w:r>
          </w:p>
          <w:p w14:paraId="72FA8AC8">
            <w:pPr>
              <w:adjustRightInd w:val="0"/>
              <w:snapToGrid w:val="0"/>
              <w:jc w:val="center"/>
              <w:rPr>
                <w:rFonts w:ascii="宋体" w:hAnsi="宋体"/>
                <w:szCs w:val="21"/>
              </w:rPr>
            </w:pPr>
            <w:r>
              <w:rPr>
                <w:rFonts w:hint="eastAsia" w:ascii="宋体" w:hAnsi="宋体"/>
                <w:szCs w:val="21"/>
              </w:rPr>
              <w:t>标准</w:t>
            </w:r>
          </w:p>
        </w:tc>
        <w:tc>
          <w:tcPr>
            <w:tcW w:w="7520" w:type="dxa"/>
            <w:noWrap w:val="0"/>
            <w:tcMar>
              <w:top w:w="113" w:type="dxa"/>
              <w:left w:w="51" w:type="dxa"/>
              <w:bottom w:w="113" w:type="dxa"/>
              <w:right w:w="51" w:type="dxa"/>
            </w:tcMar>
            <w:vAlign w:val="center"/>
          </w:tcPr>
          <w:p w14:paraId="3540E6CE">
            <w:pPr>
              <w:adjustRightInd w:val="0"/>
              <w:snapToGrid w:val="0"/>
              <w:ind w:firstLine="310" w:firstLineChars="148"/>
              <w:jc w:val="left"/>
              <w:rPr>
                <w:rFonts w:ascii="宋体" w:hAnsi="宋体"/>
                <w:szCs w:val="21"/>
              </w:rPr>
            </w:pPr>
            <w:r>
              <w:rPr>
                <w:rFonts w:hint="eastAsia" w:ascii="宋体" w:hAnsi="宋体"/>
                <w:szCs w:val="21"/>
              </w:rPr>
              <w:t>（1）承包人建议书标准：见本表后具体评分标准；</w:t>
            </w:r>
          </w:p>
          <w:p w14:paraId="438E02C9">
            <w:pPr>
              <w:adjustRightInd w:val="0"/>
              <w:snapToGrid w:val="0"/>
              <w:ind w:firstLine="310" w:firstLineChars="148"/>
              <w:jc w:val="left"/>
              <w:rPr>
                <w:rFonts w:ascii="宋体" w:hAnsi="宋体"/>
                <w:szCs w:val="21"/>
              </w:rPr>
            </w:pPr>
            <w:r>
              <w:rPr>
                <w:rFonts w:hint="eastAsia" w:ascii="宋体" w:hAnsi="宋体"/>
                <w:szCs w:val="21"/>
              </w:rPr>
              <w:t>（2）资信业绩部分标准：见本表后具体评分标准；</w:t>
            </w:r>
          </w:p>
          <w:p w14:paraId="6AEF8924">
            <w:pPr>
              <w:adjustRightInd w:val="0"/>
              <w:snapToGrid w:val="0"/>
              <w:ind w:firstLine="310" w:firstLineChars="148"/>
              <w:jc w:val="left"/>
              <w:rPr>
                <w:rFonts w:ascii="宋体" w:hAnsi="宋体"/>
                <w:szCs w:val="21"/>
              </w:rPr>
            </w:pPr>
            <w:r>
              <w:rPr>
                <w:rFonts w:hint="eastAsia" w:ascii="宋体" w:hAnsi="宋体"/>
                <w:szCs w:val="21"/>
              </w:rPr>
              <w:t>（3）承包人实施方案标准：见本表后具体评分标准；</w:t>
            </w:r>
          </w:p>
          <w:p w14:paraId="216ADE57">
            <w:pPr>
              <w:adjustRightInd w:val="0"/>
              <w:snapToGrid w:val="0"/>
              <w:ind w:firstLine="310" w:firstLineChars="148"/>
              <w:jc w:val="left"/>
              <w:rPr>
                <w:rFonts w:hint="eastAsia"/>
              </w:rPr>
            </w:pPr>
            <w:r>
              <w:rPr>
                <w:rFonts w:hint="eastAsia" w:ascii="宋体" w:hAnsi="宋体"/>
                <w:szCs w:val="21"/>
              </w:rPr>
              <w:t>（4）评标价评分标准：见本表后具体评分标准；</w:t>
            </w:r>
          </w:p>
        </w:tc>
      </w:tr>
      <w:tr w14:paraId="308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2" w:type="dxa"/>
            <w:noWrap w:val="0"/>
            <w:tcMar>
              <w:top w:w="113" w:type="dxa"/>
              <w:left w:w="51" w:type="dxa"/>
              <w:bottom w:w="113" w:type="dxa"/>
              <w:right w:w="51" w:type="dxa"/>
            </w:tcMar>
            <w:vAlign w:val="center"/>
          </w:tcPr>
          <w:p w14:paraId="7C77FC70">
            <w:pPr>
              <w:adjustRightInd w:val="0"/>
              <w:snapToGrid w:val="0"/>
              <w:jc w:val="center"/>
              <w:rPr>
                <w:rFonts w:ascii="宋体" w:hAnsi="宋体" w:cs="宋体"/>
                <w:szCs w:val="21"/>
              </w:rPr>
            </w:pPr>
            <w:r>
              <w:rPr>
                <w:rFonts w:hint="eastAsia" w:ascii="宋体" w:hAnsi="宋体"/>
                <w:szCs w:val="21"/>
              </w:rPr>
              <w:t>3</w:t>
            </w:r>
          </w:p>
        </w:tc>
        <w:tc>
          <w:tcPr>
            <w:tcW w:w="1008" w:type="dxa"/>
            <w:noWrap w:val="0"/>
            <w:tcMar>
              <w:top w:w="113" w:type="dxa"/>
              <w:left w:w="51" w:type="dxa"/>
              <w:bottom w:w="113" w:type="dxa"/>
              <w:right w:w="51" w:type="dxa"/>
            </w:tcMar>
            <w:vAlign w:val="center"/>
          </w:tcPr>
          <w:p w14:paraId="1FE0ED01">
            <w:pPr>
              <w:adjustRightInd w:val="0"/>
              <w:snapToGrid w:val="0"/>
              <w:jc w:val="center"/>
              <w:rPr>
                <w:rFonts w:ascii="宋体" w:hAnsi="宋体"/>
                <w:szCs w:val="21"/>
              </w:rPr>
            </w:pPr>
            <w:r>
              <w:rPr>
                <w:rFonts w:hint="eastAsia" w:ascii="宋体" w:hAnsi="宋体"/>
                <w:szCs w:val="21"/>
              </w:rPr>
              <w:t>评标程序</w:t>
            </w:r>
          </w:p>
        </w:tc>
        <w:tc>
          <w:tcPr>
            <w:tcW w:w="7520" w:type="dxa"/>
            <w:noWrap w:val="0"/>
            <w:tcMar>
              <w:top w:w="113" w:type="dxa"/>
              <w:left w:w="51" w:type="dxa"/>
              <w:bottom w:w="113" w:type="dxa"/>
              <w:right w:w="51" w:type="dxa"/>
            </w:tcMar>
            <w:vAlign w:val="center"/>
          </w:tcPr>
          <w:p w14:paraId="34C7AAF2">
            <w:pPr>
              <w:snapToGrid w:val="0"/>
              <w:spacing w:line="288" w:lineRule="auto"/>
              <w:ind w:firstLine="420" w:firstLineChars="200"/>
              <w:rPr>
                <w:rFonts w:hint="eastAsia" w:ascii="宋体" w:hAnsi="宋体"/>
                <w:szCs w:val="21"/>
              </w:rPr>
            </w:pPr>
            <w:r>
              <w:rPr>
                <w:rFonts w:hint="eastAsia" w:ascii="宋体" w:hAnsi="宋体"/>
                <w:szCs w:val="21"/>
              </w:rPr>
              <w:t>本款修改为：</w:t>
            </w:r>
          </w:p>
          <w:p w14:paraId="3FCED354">
            <w:pPr>
              <w:snapToGrid w:val="0"/>
              <w:spacing w:line="288" w:lineRule="auto"/>
              <w:ind w:firstLine="422" w:firstLineChars="200"/>
              <w:rPr>
                <w:rFonts w:hint="eastAsia" w:ascii="宋体" w:hAnsi="宋体"/>
                <w:b/>
                <w:bCs/>
                <w:szCs w:val="21"/>
              </w:rPr>
            </w:pPr>
            <w:r>
              <w:rPr>
                <w:rFonts w:hint="eastAsia" w:ascii="宋体" w:hAnsi="宋体"/>
                <w:b/>
                <w:bCs/>
                <w:szCs w:val="21"/>
              </w:rPr>
              <w:t>3. 评标程序</w:t>
            </w:r>
          </w:p>
          <w:p w14:paraId="1255B547">
            <w:pPr>
              <w:snapToGrid w:val="0"/>
              <w:spacing w:line="288" w:lineRule="auto"/>
              <w:ind w:firstLine="422" w:firstLineChars="200"/>
              <w:rPr>
                <w:rFonts w:hint="eastAsia" w:ascii="宋体" w:hAnsi="宋体"/>
                <w:b/>
                <w:bCs/>
                <w:szCs w:val="21"/>
              </w:rPr>
            </w:pPr>
            <w:r>
              <w:rPr>
                <w:rFonts w:hint="eastAsia" w:ascii="宋体" w:hAnsi="宋体"/>
                <w:b/>
                <w:bCs/>
                <w:szCs w:val="21"/>
              </w:rPr>
              <w:t>3.1 第一个信封初步评审</w:t>
            </w:r>
          </w:p>
          <w:p w14:paraId="25A8C417">
            <w:pPr>
              <w:snapToGrid w:val="0"/>
              <w:spacing w:line="288" w:lineRule="auto"/>
              <w:ind w:firstLine="420" w:firstLineChars="200"/>
              <w:rPr>
                <w:rFonts w:hint="eastAsia" w:ascii="宋体" w:hAnsi="宋体"/>
                <w:szCs w:val="21"/>
              </w:rPr>
            </w:pPr>
            <w:r>
              <w:rPr>
                <w:rFonts w:hint="eastAsia" w:ascii="宋体" w:hAnsi="宋体"/>
                <w:szCs w:val="21"/>
              </w:rPr>
              <w:t>3.1.1 评标委员会可以要求投标人提交第二章“投标人须知 ”第 3.5.1 项至第 3.5.6 项规定的有关证明和证件的原件，以便核验。评标委员会依 据本章第 2.1 款规定的标准对投标文件第一个信封（商务及技术文件）进行初步评审。有一项不符合评审标准的，评标委员会应否决其投标。</w:t>
            </w:r>
          </w:p>
          <w:p w14:paraId="4FF7BE51">
            <w:pPr>
              <w:snapToGrid w:val="0"/>
              <w:spacing w:line="288" w:lineRule="auto"/>
              <w:ind w:firstLine="422" w:firstLineChars="200"/>
              <w:rPr>
                <w:rFonts w:hint="eastAsia" w:ascii="宋体" w:hAnsi="宋体"/>
                <w:b/>
                <w:bCs/>
                <w:szCs w:val="21"/>
                <w:highlight w:val="none"/>
              </w:rPr>
            </w:pPr>
            <w:r>
              <w:rPr>
                <w:rFonts w:hint="eastAsia" w:ascii="宋体" w:hAnsi="宋体"/>
                <w:b/>
                <w:bCs/>
                <w:szCs w:val="21"/>
                <w:highlight w:val="none"/>
              </w:rPr>
              <w:t>3.2 第一个信封详细评审</w:t>
            </w:r>
          </w:p>
          <w:p w14:paraId="4FD40F27">
            <w:pPr>
              <w:snapToGrid w:val="0"/>
              <w:spacing w:line="288" w:lineRule="auto"/>
              <w:ind w:firstLine="420" w:firstLineChars="200"/>
              <w:rPr>
                <w:rFonts w:hint="eastAsia" w:ascii="宋体" w:hAnsi="宋体"/>
                <w:szCs w:val="21"/>
              </w:rPr>
            </w:pPr>
            <w:r>
              <w:rPr>
                <w:rFonts w:hint="eastAsia" w:ascii="宋体" w:hAnsi="宋体"/>
                <w:szCs w:val="21"/>
              </w:rPr>
              <w:t>3.2.1 评标委员会按本章第 2.2 款规定的量化因素和分值进行打分， 并计算出各投标人的商务和技术得分。</w:t>
            </w:r>
          </w:p>
          <w:p w14:paraId="76F19577">
            <w:pPr>
              <w:snapToGrid w:val="0"/>
              <w:spacing w:line="288" w:lineRule="auto"/>
              <w:ind w:firstLine="420" w:firstLineChars="200"/>
              <w:rPr>
                <w:rFonts w:hint="eastAsia" w:ascii="宋体" w:hAnsi="宋体"/>
                <w:szCs w:val="21"/>
              </w:rPr>
            </w:pPr>
            <w:r>
              <w:rPr>
                <w:rFonts w:hint="eastAsia" w:ascii="宋体" w:hAnsi="宋体"/>
                <w:szCs w:val="21"/>
              </w:rPr>
              <w:t>（1）按本章第 2.2.4（1） 目规定的评审因素和分值对承包人建议书 计算出得分 A；</w:t>
            </w:r>
          </w:p>
          <w:p w14:paraId="621DAA99">
            <w:pPr>
              <w:snapToGrid w:val="0"/>
              <w:spacing w:line="288" w:lineRule="auto"/>
              <w:ind w:firstLine="420" w:firstLineChars="200"/>
              <w:rPr>
                <w:rFonts w:hint="eastAsia" w:ascii="宋体" w:hAnsi="宋体"/>
                <w:szCs w:val="21"/>
              </w:rPr>
            </w:pPr>
            <w:r>
              <w:rPr>
                <w:rFonts w:hint="eastAsia" w:ascii="宋体" w:hAnsi="宋体"/>
                <w:szCs w:val="21"/>
              </w:rPr>
              <w:t>（2）按本章第 2.2.4（2） 目规定的评审因素和分值对承包人实施计 划计算出得分B；</w:t>
            </w:r>
          </w:p>
          <w:p w14:paraId="73C1C4EF">
            <w:pPr>
              <w:snapToGrid w:val="0"/>
              <w:spacing w:line="288" w:lineRule="auto"/>
              <w:ind w:firstLine="420" w:firstLineChars="200"/>
              <w:rPr>
                <w:rFonts w:hint="eastAsia" w:ascii="宋体" w:hAnsi="宋体"/>
                <w:szCs w:val="21"/>
              </w:rPr>
            </w:pPr>
            <w:r>
              <w:rPr>
                <w:rFonts w:hint="eastAsia" w:ascii="宋体" w:hAnsi="宋体"/>
                <w:szCs w:val="21"/>
              </w:rPr>
              <w:t>（4）按本章第 2.2.4（</w:t>
            </w:r>
            <w:r>
              <w:rPr>
                <w:rFonts w:hint="eastAsia" w:ascii="宋体" w:hAnsi="宋体"/>
                <w:szCs w:val="21"/>
                <w:lang w:val="en-US" w:eastAsia="zh-CN"/>
              </w:rPr>
              <w:t>3</w:t>
            </w:r>
            <w:r>
              <w:rPr>
                <w:rFonts w:hint="eastAsia" w:ascii="宋体" w:hAnsi="宋体"/>
                <w:szCs w:val="21"/>
              </w:rPr>
              <w:t>） 目规定的评审因素和分值对业绩计算出得 分</w:t>
            </w:r>
            <w:r>
              <w:rPr>
                <w:rFonts w:hint="eastAsia" w:ascii="宋体" w:hAnsi="宋体"/>
                <w:szCs w:val="21"/>
                <w:lang w:val="en-US" w:eastAsia="zh-CN"/>
              </w:rPr>
              <w:t>C</w:t>
            </w:r>
            <w:r>
              <w:rPr>
                <w:rFonts w:hint="eastAsia" w:ascii="宋体" w:hAnsi="宋体"/>
                <w:szCs w:val="21"/>
              </w:rPr>
              <w:t>；</w:t>
            </w:r>
          </w:p>
          <w:p w14:paraId="7910742E">
            <w:pPr>
              <w:snapToGrid w:val="0"/>
              <w:spacing w:line="288" w:lineRule="auto"/>
              <w:ind w:firstLine="420" w:firstLineChars="200"/>
              <w:rPr>
                <w:rFonts w:hint="eastAsia" w:ascii="宋体" w:hAnsi="宋体"/>
                <w:szCs w:val="21"/>
              </w:rPr>
            </w:pPr>
            <w:r>
              <w:rPr>
                <w:rFonts w:hint="eastAsia" w:ascii="宋体" w:hAnsi="宋体"/>
                <w:szCs w:val="21"/>
              </w:rPr>
              <w:t>3.2.2 投标人的商务和技术得分分值计算保留小数点后两位，小数点 后第三位 “ 四舍五入 ”。</w:t>
            </w:r>
          </w:p>
          <w:p w14:paraId="42B5DD29">
            <w:pPr>
              <w:snapToGrid w:val="0"/>
              <w:spacing w:line="288" w:lineRule="auto"/>
              <w:ind w:firstLine="420" w:firstLineChars="200"/>
              <w:rPr>
                <w:rFonts w:hint="eastAsia" w:ascii="宋体" w:hAnsi="宋体"/>
                <w:szCs w:val="21"/>
              </w:rPr>
            </w:pPr>
            <w:r>
              <w:rPr>
                <w:rFonts w:hint="eastAsia" w:ascii="宋体" w:hAnsi="宋体"/>
                <w:szCs w:val="21"/>
              </w:rPr>
              <w:t>3.2.3 投标人的商务和技术得分= A+B+C。</w:t>
            </w:r>
          </w:p>
          <w:p w14:paraId="25872C56">
            <w:pPr>
              <w:snapToGrid w:val="0"/>
              <w:spacing w:line="288" w:lineRule="auto"/>
              <w:ind w:firstLine="422" w:firstLineChars="200"/>
              <w:rPr>
                <w:rFonts w:hint="eastAsia" w:ascii="宋体" w:hAnsi="宋体"/>
                <w:b/>
                <w:bCs/>
                <w:szCs w:val="21"/>
              </w:rPr>
            </w:pPr>
            <w:r>
              <w:rPr>
                <w:rFonts w:hint="eastAsia" w:ascii="宋体" w:hAnsi="宋体"/>
                <w:b/>
                <w:bCs/>
                <w:szCs w:val="21"/>
              </w:rPr>
              <w:t>3.3 第二个信封开标</w:t>
            </w:r>
          </w:p>
          <w:p w14:paraId="5E1D67AD">
            <w:pPr>
              <w:snapToGrid w:val="0"/>
              <w:spacing w:line="288" w:lineRule="auto"/>
              <w:ind w:firstLine="420" w:firstLineChars="200"/>
              <w:rPr>
                <w:rFonts w:hint="eastAsia" w:ascii="宋体" w:hAnsi="宋体"/>
                <w:szCs w:val="21"/>
              </w:rPr>
            </w:pPr>
            <w:r>
              <w:rPr>
                <w:rFonts w:hint="eastAsia" w:ascii="宋体" w:hAnsi="宋体"/>
                <w:szCs w:val="21"/>
              </w:rPr>
              <w:t>第一个信封（商务及技术文件）评审结束后，招标人将按照第二章“投 标人须知 ”第 5.1 款规定的时间和地点对通过投标文件第一个信封（商务 及技术文件）评审的投标文件第二个信封（报价文件）进行开标。</w:t>
            </w:r>
          </w:p>
          <w:p w14:paraId="662E44AF">
            <w:pPr>
              <w:snapToGrid w:val="0"/>
              <w:spacing w:line="288" w:lineRule="auto"/>
              <w:ind w:firstLine="422" w:firstLineChars="200"/>
              <w:rPr>
                <w:rFonts w:hint="eastAsia" w:ascii="宋体" w:hAnsi="宋体"/>
                <w:b/>
                <w:bCs/>
                <w:szCs w:val="21"/>
              </w:rPr>
            </w:pPr>
            <w:r>
              <w:rPr>
                <w:rFonts w:hint="eastAsia" w:ascii="宋体" w:hAnsi="宋体"/>
                <w:b/>
                <w:bCs/>
                <w:szCs w:val="21"/>
              </w:rPr>
              <w:t>3.4 第二个信封初步评审</w:t>
            </w:r>
          </w:p>
          <w:p w14:paraId="652113AD">
            <w:pPr>
              <w:snapToGrid w:val="0"/>
              <w:spacing w:line="288" w:lineRule="auto"/>
              <w:ind w:firstLine="420" w:firstLineChars="200"/>
              <w:rPr>
                <w:rFonts w:hint="eastAsia" w:ascii="宋体" w:hAnsi="宋体"/>
                <w:szCs w:val="21"/>
              </w:rPr>
            </w:pPr>
            <w:r>
              <w:rPr>
                <w:rFonts w:hint="eastAsia" w:ascii="宋体" w:hAnsi="宋体"/>
                <w:szCs w:val="21"/>
              </w:rPr>
              <w:t>3.4.1 评标委员会依据本章第 2.1.1 项、第 2.1.3 项规定的评审标 准对投标文件第二个信封（报价文件）进行初步评审。有一项不符合评审 标准的，评标委员会应否决其投标。</w:t>
            </w:r>
          </w:p>
          <w:p w14:paraId="391B2DE8">
            <w:pPr>
              <w:snapToGrid w:val="0"/>
              <w:spacing w:line="288" w:lineRule="auto"/>
              <w:ind w:firstLine="420" w:firstLineChars="200"/>
              <w:rPr>
                <w:rFonts w:hint="eastAsia" w:ascii="宋体" w:hAnsi="宋体"/>
                <w:szCs w:val="21"/>
              </w:rPr>
            </w:pPr>
            <w:r>
              <w:rPr>
                <w:rFonts w:hint="eastAsia" w:ascii="宋体" w:hAnsi="宋体"/>
                <w:szCs w:val="21"/>
              </w:rPr>
              <w:t>3.4.2 投标报价有算术错误的，评标委员会按以下原则对投标报价进行修正，修正的价格经投标人书面确认后具有约束力。投标人不接受修正价格的，评标委员会应否决其投标。</w:t>
            </w:r>
          </w:p>
          <w:p w14:paraId="7B1AC7E2">
            <w:pPr>
              <w:snapToGrid w:val="0"/>
              <w:spacing w:line="288" w:lineRule="auto"/>
              <w:ind w:firstLine="420" w:firstLineChars="200"/>
              <w:rPr>
                <w:rFonts w:hint="eastAsia" w:ascii="宋体" w:hAnsi="宋体"/>
                <w:szCs w:val="21"/>
              </w:rPr>
            </w:pPr>
            <w:r>
              <w:rPr>
                <w:rFonts w:hint="eastAsia" w:ascii="宋体" w:hAnsi="宋体"/>
                <w:szCs w:val="21"/>
              </w:rPr>
              <w:t>（1）投标文件中的大写金额与小写金额不一致的，以大写金额为准， 修正小写。</w:t>
            </w:r>
          </w:p>
          <w:p w14:paraId="6A44E1B3">
            <w:pPr>
              <w:snapToGrid w:val="0"/>
              <w:spacing w:line="288" w:lineRule="auto"/>
              <w:ind w:firstLine="422" w:firstLineChars="200"/>
              <w:rPr>
                <w:rFonts w:hint="eastAsia" w:ascii="宋体" w:hAnsi="宋体"/>
                <w:b/>
                <w:bCs/>
                <w:szCs w:val="21"/>
              </w:rPr>
            </w:pPr>
            <w:r>
              <w:rPr>
                <w:rFonts w:hint="eastAsia" w:ascii="宋体" w:hAnsi="宋体"/>
                <w:b/>
                <w:bCs/>
                <w:szCs w:val="21"/>
              </w:rPr>
              <w:t>3.5 第二个信封详细评审</w:t>
            </w:r>
          </w:p>
          <w:p w14:paraId="45F4A9A5">
            <w:pPr>
              <w:snapToGrid w:val="0"/>
              <w:spacing w:line="288" w:lineRule="auto"/>
              <w:ind w:firstLine="420" w:firstLineChars="200"/>
              <w:rPr>
                <w:rFonts w:hint="eastAsia" w:ascii="宋体" w:hAnsi="宋体"/>
                <w:szCs w:val="21"/>
              </w:rPr>
            </w:pPr>
            <w:r>
              <w:rPr>
                <w:rFonts w:hint="eastAsia" w:ascii="宋体" w:hAnsi="宋体"/>
                <w:szCs w:val="21"/>
              </w:rPr>
              <w:t>3.5.1 评标委员会按本章第 2.2.4（5）目规定的评审因素和分值对评 标价计算出得分 E。评标价得分分值计算保留小数点后两位，小数点后第 三位“ 四舍五入 ”。</w:t>
            </w:r>
          </w:p>
          <w:p w14:paraId="312261B5">
            <w:pPr>
              <w:snapToGrid w:val="0"/>
              <w:spacing w:line="288" w:lineRule="auto"/>
              <w:ind w:firstLine="420" w:firstLineChars="200"/>
              <w:rPr>
                <w:rFonts w:hint="eastAsia" w:ascii="宋体" w:hAnsi="宋体"/>
                <w:szCs w:val="21"/>
              </w:rPr>
            </w:pPr>
            <w:r>
              <w:rPr>
                <w:rFonts w:hint="eastAsia" w:ascii="宋体" w:hAnsi="宋体"/>
                <w:szCs w:val="21"/>
              </w:rPr>
              <w:t>3.5.2 投标人综合得分=投标人的商务和技术得分+E。</w:t>
            </w:r>
          </w:p>
          <w:p w14:paraId="259A0D23">
            <w:pPr>
              <w:snapToGrid w:val="0"/>
              <w:spacing w:line="288" w:lineRule="auto"/>
              <w:ind w:firstLine="420" w:firstLineChars="200"/>
              <w:rPr>
                <w:rFonts w:hint="eastAsia" w:ascii="宋体" w:hAnsi="宋体"/>
                <w:szCs w:val="21"/>
              </w:rPr>
            </w:pPr>
            <w:r>
              <w:rPr>
                <w:rFonts w:hint="eastAsia" w:ascii="宋体" w:hAnsi="宋体"/>
                <w:szCs w:val="21"/>
              </w:rPr>
              <w:t>3.5.3 存在投标人须知前附表3.2.5项情形的应当要求该投标人作出书面说明并提供相应的证明材料</w:t>
            </w:r>
            <w:r>
              <w:rPr>
                <w:rFonts w:hint="eastAsia" w:ascii="宋体" w:hAnsi="宋体"/>
                <w:szCs w:val="21"/>
                <w:lang w:eastAsia="zh-CN"/>
              </w:rPr>
              <w:t>，</w:t>
            </w:r>
            <w:r>
              <w:rPr>
                <w:rFonts w:hint="eastAsia" w:ascii="宋体" w:hAnsi="宋体"/>
                <w:szCs w:val="21"/>
                <w:lang w:val="en-US" w:eastAsia="zh-CN"/>
              </w:rPr>
              <w:t>并在规定时间内进行答复。</w:t>
            </w:r>
            <w:r>
              <w:rPr>
                <w:rFonts w:hint="eastAsia" w:ascii="宋体" w:hAnsi="宋体"/>
                <w:szCs w:val="21"/>
              </w:rPr>
              <w:t>投标人不能合理说明或者不能提供相应证明材料的，评标委员会应当认定该投标人以低于成本或影响履约的异常低价竞标，否决其投标。</w:t>
            </w:r>
          </w:p>
          <w:p w14:paraId="7BCE2570">
            <w:pPr>
              <w:snapToGrid w:val="0"/>
              <w:spacing w:line="288" w:lineRule="auto"/>
              <w:ind w:firstLine="422" w:firstLineChars="200"/>
              <w:rPr>
                <w:rFonts w:hint="eastAsia" w:ascii="宋体" w:hAnsi="宋体"/>
                <w:b/>
                <w:bCs/>
                <w:szCs w:val="21"/>
              </w:rPr>
            </w:pPr>
            <w:r>
              <w:rPr>
                <w:rFonts w:hint="eastAsia" w:ascii="宋体" w:hAnsi="宋体"/>
                <w:b/>
                <w:bCs/>
                <w:szCs w:val="21"/>
              </w:rPr>
              <w:t>3.6 投标文件相关信息的核查</w:t>
            </w:r>
          </w:p>
          <w:p w14:paraId="110FA4A6">
            <w:pPr>
              <w:snapToGrid w:val="0"/>
              <w:spacing w:line="288" w:lineRule="auto"/>
              <w:ind w:firstLine="422" w:firstLineChars="200"/>
              <w:rPr>
                <w:rFonts w:hint="eastAsia" w:ascii="宋体" w:hAnsi="宋体"/>
                <w:b/>
                <w:bCs/>
                <w:szCs w:val="21"/>
              </w:rPr>
            </w:pPr>
            <w:r>
              <w:rPr>
                <w:rFonts w:hint="eastAsia" w:ascii="宋体" w:hAnsi="宋体"/>
                <w:b/>
                <w:bCs/>
                <w:szCs w:val="21"/>
              </w:rPr>
              <w:t>3.6.1在评标过程中，评标委员会应对投标文件中以下信息进行查询：</w:t>
            </w:r>
          </w:p>
          <w:p w14:paraId="302E353F">
            <w:pPr>
              <w:snapToGrid w:val="0"/>
              <w:spacing w:line="288" w:lineRule="auto"/>
              <w:ind w:firstLine="420" w:firstLineChars="200"/>
              <w:rPr>
                <w:rFonts w:hint="eastAsia" w:ascii="宋体" w:hAnsi="宋体"/>
                <w:szCs w:val="21"/>
              </w:rPr>
            </w:pPr>
            <w:r>
              <w:rPr>
                <w:rFonts w:hint="eastAsia" w:ascii="宋体" w:hAnsi="宋体"/>
                <w:szCs w:val="21"/>
              </w:rPr>
              <w:t>（1）所附项目经理一级注册建造师信息的网页截图复印件与“全国建</w:t>
            </w:r>
          </w:p>
          <w:p w14:paraId="221272ED">
            <w:pPr>
              <w:snapToGrid w:val="0"/>
              <w:spacing w:line="288" w:lineRule="auto"/>
              <w:ind w:firstLine="420" w:firstLineChars="200"/>
              <w:rPr>
                <w:rFonts w:hint="eastAsia" w:ascii="宋体" w:hAnsi="宋体"/>
                <w:szCs w:val="21"/>
              </w:rPr>
            </w:pPr>
            <w:r>
              <w:rPr>
                <w:rFonts w:hint="eastAsia" w:ascii="宋体" w:hAnsi="宋体"/>
                <w:szCs w:val="21"/>
              </w:rPr>
              <w:t>筑市场监管公共服务平台（http://jzsc.mohurd.gov.cn/） ”核查的结果 一致，并满足招标文件资格审查条件要求。项目经理的一级建造师电子注册证书的注册单位名称必须与投标人（或联合体牵头人）名称一致；</w:t>
            </w:r>
          </w:p>
          <w:p w14:paraId="6CD4C001">
            <w:pPr>
              <w:snapToGrid w:val="0"/>
              <w:spacing w:line="288" w:lineRule="auto"/>
              <w:ind w:firstLine="420" w:firstLineChars="200"/>
              <w:rPr>
                <w:rFonts w:hint="eastAsia" w:ascii="宋体" w:hAnsi="宋体"/>
                <w:szCs w:val="21"/>
              </w:rPr>
            </w:pPr>
            <w:r>
              <w:rPr>
                <w:rFonts w:hint="eastAsia" w:ascii="宋体" w:hAnsi="宋体"/>
                <w:szCs w:val="21"/>
              </w:rPr>
              <w:t>如投标人未提供相关网页截图复印件或相关网页截图复印件中的信息 无法证实投标人满足招标文件规定的资格审查条件（项目经理最低要求）， 则该证书不予认定。</w:t>
            </w:r>
          </w:p>
          <w:p w14:paraId="099EB482">
            <w:pPr>
              <w:snapToGrid w:val="0"/>
              <w:spacing w:line="288" w:lineRule="auto"/>
              <w:ind w:firstLine="420" w:firstLineChars="200"/>
              <w:rPr>
                <w:rFonts w:hint="eastAsia" w:ascii="宋体" w:hAnsi="宋体"/>
                <w:szCs w:val="21"/>
              </w:rPr>
            </w:pPr>
            <w:r>
              <w:rPr>
                <w:rFonts w:hint="eastAsia" w:ascii="宋体" w:hAnsi="宋体"/>
                <w:szCs w:val="21"/>
              </w:rPr>
              <w:t>（2）评标委员会评标时应在国家企业信用信息公示系统（http://www.gsxt.gov.cn/）中被列入严重违法失信名单（黑名单）信息（不含分公司）、在“信用中国”网站（http://www.creditchina.gov.cn/）中被列入经营异常名录、税收违法黑名单、政府采购严重违法失信名单、安全生产严重失信主体名单（均不含分公司）、在中国执行信息公开网（zxgk.court.gov.cn）中被列入失信被执行人</w:t>
            </w:r>
            <w:r>
              <w:rPr>
                <w:rFonts w:hint="eastAsia" w:ascii="宋体" w:hAnsi="宋体"/>
                <w:szCs w:val="21"/>
                <w:lang w:eastAsia="zh-CN"/>
              </w:rPr>
              <w:t>，</w:t>
            </w:r>
            <w:r>
              <w:rPr>
                <w:rFonts w:hint="eastAsia" w:ascii="宋体" w:hAnsi="宋体"/>
                <w:szCs w:val="21"/>
              </w:rPr>
              <w:t>评标委员会应否决其投标。</w:t>
            </w:r>
          </w:p>
          <w:p w14:paraId="6A138D9B">
            <w:pPr>
              <w:snapToGrid w:val="0"/>
              <w:spacing w:line="288" w:lineRule="auto"/>
              <w:ind w:firstLine="420" w:firstLineChars="200"/>
              <w:rPr>
                <w:rFonts w:hint="eastAsia" w:ascii="宋体" w:hAnsi="宋体"/>
                <w:szCs w:val="21"/>
              </w:rPr>
            </w:pPr>
            <w:r>
              <w:rPr>
                <w:rFonts w:hint="eastAsia" w:ascii="宋体" w:hAnsi="宋体"/>
                <w:szCs w:val="21"/>
              </w:rPr>
              <w:t>如投标人未提供相关网页截图或所附截图与核查结果不一致，评标委 员会应否决其投标。</w:t>
            </w:r>
          </w:p>
          <w:p w14:paraId="467BCC13">
            <w:pPr>
              <w:snapToGrid w:val="0"/>
              <w:spacing w:line="288" w:lineRule="auto"/>
              <w:ind w:firstLine="420" w:firstLineChars="200"/>
              <w:rPr>
                <w:rFonts w:hint="eastAsia" w:ascii="宋体" w:hAnsi="宋体"/>
                <w:szCs w:val="21"/>
              </w:rPr>
            </w:pPr>
            <w:r>
              <w:rPr>
                <w:rFonts w:hint="eastAsia" w:ascii="宋体" w:hAnsi="宋体"/>
                <w:szCs w:val="21"/>
              </w:rPr>
              <w:t>3.6.2 评标委员会应对在评标过程中发现的投标人与投标人之间、投 标人与招标人之间存在的串通投标的情形进行评审和认定。投标人存在串通投标、弄虚作假、行贿等违法行为的，评标委员会应否决其投标。</w:t>
            </w:r>
          </w:p>
          <w:p w14:paraId="01FF512E">
            <w:pPr>
              <w:snapToGrid w:val="0"/>
              <w:spacing w:line="288" w:lineRule="auto"/>
              <w:ind w:firstLine="420" w:firstLineChars="200"/>
              <w:rPr>
                <w:rFonts w:hint="eastAsia" w:ascii="宋体" w:hAnsi="宋体"/>
                <w:szCs w:val="21"/>
              </w:rPr>
            </w:pPr>
            <w:r>
              <w:rPr>
                <w:rFonts w:hint="eastAsia" w:ascii="宋体" w:hAnsi="宋体"/>
                <w:szCs w:val="21"/>
              </w:rPr>
              <w:t>（1）有下列情形之一的，属于投标人相互串通投标：</w:t>
            </w:r>
          </w:p>
          <w:p w14:paraId="47B4E987">
            <w:pPr>
              <w:snapToGrid w:val="0"/>
              <w:spacing w:line="288" w:lineRule="auto"/>
              <w:ind w:firstLine="420" w:firstLineChars="200"/>
              <w:rPr>
                <w:rFonts w:hint="eastAsia" w:ascii="宋体" w:hAnsi="宋体"/>
                <w:szCs w:val="21"/>
              </w:rPr>
            </w:pPr>
            <w:r>
              <w:rPr>
                <w:rFonts w:hint="eastAsia" w:ascii="宋体" w:hAnsi="宋体"/>
                <w:szCs w:val="21"/>
              </w:rPr>
              <w:t xml:space="preserve"> a.投标人之间协商投标报价等投标文件的实质性内容；</w:t>
            </w:r>
          </w:p>
          <w:p w14:paraId="34AE37FB">
            <w:pPr>
              <w:snapToGrid w:val="0"/>
              <w:spacing w:line="288" w:lineRule="auto"/>
              <w:ind w:firstLine="420" w:firstLineChars="200"/>
              <w:rPr>
                <w:rFonts w:hint="eastAsia" w:ascii="宋体" w:hAnsi="宋体"/>
                <w:szCs w:val="21"/>
              </w:rPr>
            </w:pPr>
            <w:r>
              <w:rPr>
                <w:rFonts w:hint="eastAsia" w:ascii="宋体" w:hAnsi="宋体"/>
                <w:szCs w:val="21"/>
              </w:rPr>
              <w:t xml:space="preserve"> b.投标人之间约定中标人；</w:t>
            </w:r>
          </w:p>
          <w:p w14:paraId="790BB85D">
            <w:pPr>
              <w:snapToGrid w:val="0"/>
              <w:spacing w:line="288" w:lineRule="auto"/>
              <w:ind w:firstLine="420" w:firstLineChars="200"/>
              <w:rPr>
                <w:rFonts w:hint="eastAsia" w:ascii="宋体" w:hAnsi="宋体"/>
                <w:szCs w:val="21"/>
              </w:rPr>
            </w:pPr>
            <w:r>
              <w:rPr>
                <w:rFonts w:hint="eastAsia" w:ascii="宋体" w:hAnsi="宋体"/>
                <w:szCs w:val="21"/>
              </w:rPr>
              <w:t>c.投标人之间约定部分投标人放弃投标或中标；</w:t>
            </w:r>
          </w:p>
          <w:p w14:paraId="3060DDA7">
            <w:pPr>
              <w:snapToGrid w:val="0"/>
              <w:spacing w:line="288" w:lineRule="auto"/>
              <w:ind w:firstLine="420" w:firstLineChars="200"/>
              <w:rPr>
                <w:rFonts w:hint="eastAsia" w:ascii="宋体" w:hAnsi="宋体"/>
                <w:szCs w:val="21"/>
              </w:rPr>
            </w:pPr>
            <w:r>
              <w:rPr>
                <w:rFonts w:hint="eastAsia" w:ascii="宋体" w:hAnsi="宋体"/>
                <w:szCs w:val="21"/>
              </w:rPr>
              <w:t>d.属于同一集团、协会、商会等组织成员的投标人按照该组织要求协同投标；</w:t>
            </w:r>
          </w:p>
          <w:p w14:paraId="368FBBFC">
            <w:pPr>
              <w:snapToGrid w:val="0"/>
              <w:spacing w:line="288" w:lineRule="auto"/>
              <w:ind w:firstLine="420" w:firstLineChars="200"/>
              <w:rPr>
                <w:rFonts w:hint="eastAsia" w:ascii="宋体" w:hAnsi="宋体"/>
                <w:szCs w:val="21"/>
              </w:rPr>
            </w:pPr>
            <w:r>
              <w:rPr>
                <w:rFonts w:hint="eastAsia" w:ascii="宋体" w:hAnsi="宋体"/>
                <w:szCs w:val="21"/>
              </w:rPr>
              <w:t>e.投标人之间为谋取中标或排斥特定投标人而采取的其他联合行动。</w:t>
            </w:r>
          </w:p>
          <w:p w14:paraId="4755779E">
            <w:pPr>
              <w:snapToGrid w:val="0"/>
              <w:spacing w:line="288" w:lineRule="auto"/>
              <w:ind w:firstLine="420" w:firstLineChars="200"/>
              <w:rPr>
                <w:rFonts w:hint="eastAsia" w:ascii="宋体" w:hAnsi="宋体"/>
                <w:szCs w:val="21"/>
              </w:rPr>
            </w:pPr>
            <w:r>
              <w:rPr>
                <w:rFonts w:hint="eastAsia" w:ascii="宋体" w:hAnsi="宋体"/>
                <w:szCs w:val="21"/>
              </w:rPr>
              <w:t>（2）有下列情形之一的，视为投标人相互串通投标： a.不同投标人的投标文件由同一单位或个人编制；</w:t>
            </w:r>
          </w:p>
          <w:p w14:paraId="63260018">
            <w:pPr>
              <w:snapToGrid w:val="0"/>
              <w:spacing w:line="288" w:lineRule="auto"/>
              <w:ind w:firstLine="420" w:firstLineChars="200"/>
              <w:rPr>
                <w:rFonts w:hint="eastAsia" w:ascii="宋体" w:hAnsi="宋体"/>
                <w:szCs w:val="21"/>
              </w:rPr>
            </w:pPr>
            <w:r>
              <w:rPr>
                <w:rFonts w:hint="eastAsia" w:ascii="宋体" w:hAnsi="宋体"/>
                <w:szCs w:val="21"/>
              </w:rPr>
              <w:t>b.不同投标人委托同一单位或个人办理投标事宜；</w:t>
            </w:r>
          </w:p>
          <w:p w14:paraId="6A750816">
            <w:pPr>
              <w:snapToGrid w:val="0"/>
              <w:spacing w:line="288" w:lineRule="auto"/>
              <w:ind w:firstLine="420" w:firstLineChars="200"/>
              <w:rPr>
                <w:rFonts w:hint="eastAsia" w:ascii="宋体" w:hAnsi="宋体"/>
                <w:szCs w:val="21"/>
              </w:rPr>
            </w:pPr>
            <w:r>
              <w:rPr>
                <w:rFonts w:hint="eastAsia" w:ascii="宋体" w:hAnsi="宋体"/>
                <w:szCs w:val="21"/>
              </w:rPr>
              <w:t>c.不同投标人的投标文件载明的项目管理成员为同一人；</w:t>
            </w:r>
          </w:p>
          <w:p w14:paraId="7BB817ED">
            <w:pPr>
              <w:snapToGrid w:val="0"/>
              <w:spacing w:line="288" w:lineRule="auto"/>
              <w:ind w:firstLine="420" w:firstLineChars="200"/>
              <w:rPr>
                <w:rFonts w:hint="eastAsia" w:ascii="宋体" w:hAnsi="宋体"/>
                <w:szCs w:val="21"/>
              </w:rPr>
            </w:pPr>
            <w:r>
              <w:rPr>
                <w:rFonts w:hint="eastAsia" w:ascii="宋体" w:hAnsi="宋体"/>
                <w:szCs w:val="21"/>
              </w:rPr>
              <w:t xml:space="preserve">d.不同投标人的投标文件异常一致或投标报价呈规律性差异； </w:t>
            </w:r>
          </w:p>
          <w:p w14:paraId="0F4B509C">
            <w:pPr>
              <w:snapToGrid w:val="0"/>
              <w:spacing w:line="288" w:lineRule="auto"/>
              <w:ind w:firstLine="420" w:firstLineChars="200"/>
              <w:rPr>
                <w:rFonts w:hint="eastAsia" w:ascii="宋体" w:hAnsi="宋体"/>
                <w:szCs w:val="21"/>
              </w:rPr>
            </w:pPr>
            <w:r>
              <w:rPr>
                <w:rFonts w:hint="eastAsia" w:ascii="宋体" w:hAnsi="宋体"/>
                <w:szCs w:val="21"/>
              </w:rPr>
              <w:t>e.不同投标人的投标文件相互混装；</w:t>
            </w:r>
          </w:p>
          <w:p w14:paraId="105B3FC4">
            <w:pPr>
              <w:snapToGrid w:val="0"/>
              <w:spacing w:line="288" w:lineRule="auto"/>
              <w:ind w:firstLine="420" w:firstLineChars="200"/>
              <w:rPr>
                <w:rFonts w:hint="eastAsia" w:ascii="宋体" w:hAnsi="宋体"/>
                <w:szCs w:val="21"/>
              </w:rPr>
            </w:pPr>
            <w:r>
              <w:rPr>
                <w:rFonts w:hint="eastAsia" w:ascii="宋体" w:hAnsi="宋体"/>
                <w:szCs w:val="21"/>
              </w:rPr>
              <w:t>f.不同投标人的投标保证金从同一单位或个人的账户转出。</w:t>
            </w:r>
          </w:p>
          <w:p w14:paraId="5A02C30C">
            <w:pPr>
              <w:snapToGrid w:val="0"/>
              <w:spacing w:line="288" w:lineRule="auto"/>
              <w:ind w:firstLine="420" w:firstLineChars="200"/>
              <w:rPr>
                <w:rFonts w:hint="eastAsia" w:ascii="宋体" w:hAnsi="宋体"/>
                <w:szCs w:val="21"/>
              </w:rPr>
            </w:pPr>
            <w:r>
              <w:rPr>
                <w:rFonts w:hint="eastAsia" w:ascii="宋体" w:hAnsi="宋体"/>
                <w:szCs w:val="21"/>
              </w:rPr>
              <w:t>（3）有下列情形之一的，属于招标人与投标人串通投标：</w:t>
            </w:r>
          </w:p>
          <w:p w14:paraId="1EF388C1">
            <w:pPr>
              <w:snapToGrid w:val="0"/>
              <w:spacing w:line="288" w:lineRule="auto"/>
              <w:ind w:firstLine="420" w:firstLineChars="200"/>
              <w:rPr>
                <w:rFonts w:hint="eastAsia" w:ascii="宋体" w:hAnsi="宋体"/>
                <w:szCs w:val="21"/>
              </w:rPr>
            </w:pPr>
            <w:r>
              <w:rPr>
                <w:rFonts w:hint="eastAsia" w:ascii="宋体" w:hAnsi="宋体"/>
                <w:szCs w:val="21"/>
              </w:rPr>
              <w:t xml:space="preserve">a.招标人在开标前开启投标文件并将有关信息泄露给其他投标人 ; </w:t>
            </w:r>
          </w:p>
          <w:p w14:paraId="7627AB7C">
            <w:pPr>
              <w:snapToGrid w:val="0"/>
              <w:spacing w:line="288" w:lineRule="auto"/>
              <w:ind w:firstLine="420" w:firstLineChars="200"/>
              <w:rPr>
                <w:rFonts w:hint="eastAsia" w:ascii="宋体" w:hAnsi="宋体"/>
                <w:szCs w:val="21"/>
              </w:rPr>
            </w:pPr>
            <w:r>
              <w:rPr>
                <w:rFonts w:hint="eastAsia" w:ascii="宋体" w:hAnsi="宋体"/>
                <w:szCs w:val="21"/>
              </w:rPr>
              <w:t>b.招标人直接或间接向投标人泄露标底、评标委员会成员等信息；</w:t>
            </w:r>
          </w:p>
          <w:p w14:paraId="3A0233E6">
            <w:pPr>
              <w:snapToGrid w:val="0"/>
              <w:spacing w:line="288" w:lineRule="auto"/>
              <w:ind w:firstLine="420" w:firstLineChars="200"/>
              <w:rPr>
                <w:rFonts w:hint="eastAsia" w:ascii="宋体" w:hAnsi="宋体"/>
                <w:szCs w:val="21"/>
              </w:rPr>
            </w:pPr>
            <w:r>
              <w:rPr>
                <w:rFonts w:hint="eastAsia" w:ascii="宋体" w:hAnsi="宋体"/>
                <w:szCs w:val="21"/>
              </w:rPr>
              <w:t>c.招标人明示或暗示投标人压低或抬高投标报价；</w:t>
            </w:r>
          </w:p>
          <w:p w14:paraId="2FD76785">
            <w:pPr>
              <w:snapToGrid w:val="0"/>
              <w:spacing w:line="288" w:lineRule="auto"/>
              <w:ind w:firstLine="420" w:firstLineChars="200"/>
              <w:rPr>
                <w:rFonts w:hint="eastAsia" w:ascii="宋体" w:hAnsi="宋体"/>
                <w:szCs w:val="21"/>
              </w:rPr>
            </w:pPr>
            <w:r>
              <w:rPr>
                <w:rFonts w:hint="eastAsia" w:ascii="宋体" w:hAnsi="宋体"/>
                <w:szCs w:val="21"/>
              </w:rPr>
              <w:t>d.招标人授意投标人撤换、修改投标文件；</w:t>
            </w:r>
          </w:p>
          <w:p w14:paraId="1B96F29C">
            <w:pPr>
              <w:snapToGrid w:val="0"/>
              <w:spacing w:line="288" w:lineRule="auto"/>
              <w:ind w:firstLine="420" w:firstLineChars="200"/>
              <w:rPr>
                <w:rFonts w:hint="eastAsia" w:ascii="宋体" w:hAnsi="宋体"/>
                <w:szCs w:val="21"/>
              </w:rPr>
            </w:pPr>
            <w:r>
              <w:rPr>
                <w:rFonts w:hint="eastAsia" w:ascii="宋体" w:hAnsi="宋体"/>
                <w:szCs w:val="21"/>
              </w:rPr>
              <w:t>e.招标人明示或暗示投标人为特定投标人中标提供方便；</w:t>
            </w:r>
          </w:p>
          <w:p w14:paraId="02C3B504">
            <w:pPr>
              <w:snapToGrid w:val="0"/>
              <w:spacing w:line="288" w:lineRule="auto"/>
              <w:ind w:firstLine="420" w:firstLineChars="200"/>
              <w:rPr>
                <w:rFonts w:hint="eastAsia" w:ascii="宋体" w:hAnsi="宋体"/>
                <w:szCs w:val="21"/>
              </w:rPr>
            </w:pPr>
            <w:r>
              <w:rPr>
                <w:rFonts w:hint="eastAsia" w:ascii="宋体" w:hAnsi="宋体"/>
                <w:szCs w:val="21"/>
              </w:rPr>
              <w:t xml:space="preserve">f.招标人与投标人为谋求特定投标人中标而采取的其他串通行为。 </w:t>
            </w:r>
          </w:p>
          <w:p w14:paraId="40DC0238">
            <w:pPr>
              <w:snapToGrid w:val="0"/>
              <w:spacing w:line="288" w:lineRule="auto"/>
              <w:ind w:firstLine="420" w:firstLineChars="200"/>
              <w:rPr>
                <w:rFonts w:hint="eastAsia" w:ascii="宋体" w:hAnsi="宋体"/>
                <w:szCs w:val="21"/>
              </w:rPr>
            </w:pPr>
            <w:r>
              <w:rPr>
                <w:rFonts w:hint="eastAsia" w:ascii="宋体" w:hAnsi="宋体"/>
                <w:szCs w:val="21"/>
              </w:rPr>
              <w:t>（4）投标人有下列情形之一的，属于弄虚作假的行为：</w:t>
            </w:r>
          </w:p>
          <w:p w14:paraId="107B5F5B">
            <w:pPr>
              <w:snapToGrid w:val="0"/>
              <w:spacing w:line="288" w:lineRule="auto"/>
              <w:ind w:firstLine="420" w:firstLineChars="200"/>
              <w:rPr>
                <w:rFonts w:hint="eastAsia" w:ascii="宋体" w:hAnsi="宋体"/>
                <w:szCs w:val="21"/>
              </w:rPr>
            </w:pPr>
            <w:r>
              <w:rPr>
                <w:rFonts w:hint="eastAsia" w:ascii="宋体" w:hAnsi="宋体"/>
                <w:szCs w:val="21"/>
              </w:rPr>
              <w:t>a.使用通过受让或租借等方式获取的资格、资质证书投标；</w:t>
            </w:r>
          </w:p>
          <w:p w14:paraId="28D7427C">
            <w:pPr>
              <w:snapToGrid w:val="0"/>
              <w:spacing w:line="288" w:lineRule="auto"/>
              <w:ind w:firstLine="420" w:firstLineChars="200"/>
              <w:rPr>
                <w:rFonts w:hint="eastAsia" w:ascii="宋体" w:hAnsi="宋体"/>
                <w:szCs w:val="21"/>
              </w:rPr>
            </w:pPr>
            <w:r>
              <w:rPr>
                <w:rFonts w:hint="eastAsia" w:ascii="宋体" w:hAnsi="宋体"/>
                <w:szCs w:val="21"/>
              </w:rPr>
              <w:t>b.使用伪造、变造的许可证件；</w:t>
            </w:r>
          </w:p>
          <w:p w14:paraId="3182F128">
            <w:pPr>
              <w:snapToGrid w:val="0"/>
              <w:spacing w:line="288" w:lineRule="auto"/>
              <w:ind w:firstLine="420" w:firstLineChars="200"/>
              <w:rPr>
                <w:rFonts w:hint="eastAsia" w:ascii="宋体" w:hAnsi="宋体"/>
                <w:szCs w:val="21"/>
              </w:rPr>
            </w:pPr>
            <w:r>
              <w:rPr>
                <w:rFonts w:hint="eastAsia" w:ascii="宋体" w:hAnsi="宋体"/>
                <w:szCs w:val="21"/>
              </w:rPr>
              <w:t>c.提供虚假的财务状况或业绩；</w:t>
            </w:r>
          </w:p>
          <w:p w14:paraId="0FEAADE3">
            <w:pPr>
              <w:snapToGrid w:val="0"/>
              <w:spacing w:line="288" w:lineRule="auto"/>
              <w:ind w:firstLine="420" w:firstLineChars="200"/>
              <w:rPr>
                <w:rFonts w:hint="eastAsia" w:ascii="宋体" w:hAnsi="宋体"/>
                <w:szCs w:val="21"/>
              </w:rPr>
            </w:pPr>
            <w:r>
              <w:rPr>
                <w:rFonts w:hint="eastAsia" w:ascii="宋体" w:hAnsi="宋体"/>
                <w:szCs w:val="21"/>
              </w:rPr>
              <w:t>d.提供虚假的项目负责人或主要技术人员简历、劳动关系证明； e.提供虚假的信用状况；</w:t>
            </w:r>
          </w:p>
          <w:p w14:paraId="1F27D5D5">
            <w:pPr>
              <w:snapToGrid w:val="0"/>
              <w:spacing w:line="288" w:lineRule="auto"/>
              <w:ind w:firstLine="420" w:firstLineChars="200"/>
              <w:rPr>
                <w:rFonts w:hint="eastAsia" w:ascii="宋体" w:hAnsi="宋体"/>
                <w:szCs w:val="21"/>
              </w:rPr>
            </w:pPr>
            <w:r>
              <w:rPr>
                <w:rFonts w:hint="eastAsia" w:ascii="宋体" w:hAnsi="宋体"/>
                <w:szCs w:val="21"/>
              </w:rPr>
              <w:t>f.其他弄虚作假的行为。</w:t>
            </w:r>
          </w:p>
          <w:p w14:paraId="6C71EDEB">
            <w:pPr>
              <w:snapToGrid w:val="0"/>
              <w:spacing w:line="288" w:lineRule="auto"/>
              <w:ind w:firstLine="420" w:firstLineChars="200"/>
              <w:rPr>
                <w:rFonts w:hint="eastAsia" w:ascii="宋体" w:hAnsi="宋体"/>
                <w:szCs w:val="21"/>
                <w:lang w:val="en-US" w:eastAsia="zh-CN"/>
              </w:rPr>
            </w:pPr>
            <w:r>
              <w:rPr>
                <w:rFonts w:hint="eastAsia" w:ascii="宋体" w:hAnsi="宋体"/>
                <w:szCs w:val="21"/>
                <w:lang w:val="en-US" w:eastAsia="zh-CN"/>
              </w:rPr>
              <w:t>（5）投标人存在投标人须知前附表4.4(1)、(3)项规定的情形。</w:t>
            </w:r>
          </w:p>
          <w:p w14:paraId="55CF9D28">
            <w:pPr>
              <w:snapToGrid w:val="0"/>
              <w:spacing w:line="288" w:lineRule="auto"/>
              <w:ind w:firstLine="420" w:firstLineChars="200"/>
              <w:rPr>
                <w:rFonts w:hint="default" w:ascii="宋体" w:hAnsi="宋体"/>
                <w:szCs w:val="21"/>
                <w:lang w:val="en-US" w:eastAsia="zh-CN"/>
              </w:rPr>
            </w:pPr>
            <w:r>
              <w:rPr>
                <w:rFonts w:hint="eastAsia" w:ascii="宋体" w:hAnsi="宋体"/>
                <w:szCs w:val="21"/>
                <w:lang w:val="en-US" w:eastAsia="zh-CN"/>
              </w:rPr>
              <w:t>（6）投标人存在因投标人须知前附表4.4(2)项规定情形的，评标委员会应当通知投标人可在规定时间内做出解释说明。评标委员会经核查发现投标人存在串通投标、弄虚作假情形等违法行为的，应否决其投标。</w:t>
            </w:r>
          </w:p>
          <w:p w14:paraId="0EB06A95">
            <w:pPr>
              <w:snapToGrid w:val="0"/>
              <w:spacing w:line="288" w:lineRule="auto"/>
              <w:ind w:firstLine="420" w:firstLineChars="200"/>
              <w:rPr>
                <w:rFonts w:hint="eastAsia" w:ascii="宋体" w:hAnsi="宋体"/>
                <w:szCs w:val="21"/>
              </w:rPr>
            </w:pPr>
            <w:r>
              <w:rPr>
                <w:rFonts w:hint="eastAsia" w:ascii="宋体" w:hAnsi="宋体"/>
                <w:szCs w:val="21"/>
              </w:rPr>
              <w:t>3.7 投标文件的澄清和说明</w:t>
            </w:r>
          </w:p>
          <w:p w14:paraId="5C04812A">
            <w:pPr>
              <w:snapToGrid w:val="0"/>
              <w:spacing w:line="288" w:lineRule="auto"/>
              <w:ind w:firstLine="420" w:firstLineChars="200"/>
              <w:rPr>
                <w:rFonts w:hint="eastAsia" w:ascii="宋体" w:hAnsi="宋体"/>
                <w:szCs w:val="21"/>
              </w:rPr>
            </w:pPr>
            <w:r>
              <w:rPr>
                <w:rFonts w:hint="eastAsia" w:ascii="宋体" w:hAnsi="宋体"/>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2A2C5295">
            <w:pPr>
              <w:snapToGrid w:val="0"/>
              <w:spacing w:line="288" w:lineRule="auto"/>
              <w:ind w:firstLine="420" w:firstLineChars="200"/>
              <w:rPr>
                <w:rFonts w:hint="eastAsia" w:ascii="宋体" w:hAnsi="宋体"/>
                <w:szCs w:val="21"/>
              </w:rPr>
            </w:pPr>
            <w:r>
              <w:rPr>
                <w:rFonts w:hint="eastAsia" w:ascii="宋体" w:hAnsi="宋体"/>
                <w:szCs w:val="21"/>
              </w:rPr>
              <w:t>3.7.2 澄清和说明不得超出投标文件的范围或改变投标文件的实质性 内容。投标人的书面澄清、说明属于投标文件的组成部分。</w:t>
            </w:r>
          </w:p>
          <w:p w14:paraId="48E4979C">
            <w:pPr>
              <w:snapToGrid w:val="0"/>
              <w:spacing w:line="288" w:lineRule="auto"/>
              <w:ind w:firstLine="420" w:firstLineChars="200"/>
              <w:rPr>
                <w:rFonts w:hint="eastAsia" w:ascii="宋体" w:hAnsi="宋体"/>
                <w:szCs w:val="21"/>
              </w:rPr>
            </w:pPr>
            <w:r>
              <w:rPr>
                <w:rFonts w:hint="eastAsia" w:ascii="宋体" w:hAnsi="宋体"/>
                <w:szCs w:val="21"/>
              </w:rPr>
              <w:t>3.7.3 评标委员会不得暗示或诱导投标人作出澄清、说明，对投标人提交的澄清、说明有疑问的，可以要求投标人进一步澄清或说明。</w:t>
            </w:r>
          </w:p>
          <w:p w14:paraId="3B5C7AC7">
            <w:pPr>
              <w:snapToGrid w:val="0"/>
              <w:spacing w:line="288" w:lineRule="auto"/>
              <w:ind w:firstLine="420" w:firstLineChars="200"/>
              <w:rPr>
                <w:rFonts w:hint="eastAsia" w:ascii="宋体" w:hAnsi="宋体"/>
                <w:szCs w:val="21"/>
              </w:rPr>
            </w:pPr>
            <w:r>
              <w:rPr>
                <w:rFonts w:hint="eastAsia" w:ascii="宋体" w:hAnsi="宋体"/>
                <w:szCs w:val="21"/>
              </w:rPr>
              <w:t>3.7.4 凡超出招标文件规定的或给发包人带来未曾要求的利益的变化、偏差或其他因素在评标时不予考虑。</w:t>
            </w:r>
          </w:p>
          <w:p w14:paraId="6378E23A">
            <w:pPr>
              <w:snapToGrid w:val="0"/>
              <w:spacing w:line="288" w:lineRule="auto"/>
              <w:ind w:firstLine="420" w:firstLineChars="200"/>
              <w:rPr>
                <w:rFonts w:hint="eastAsia" w:ascii="宋体" w:hAnsi="宋体"/>
                <w:szCs w:val="21"/>
              </w:rPr>
            </w:pPr>
            <w:r>
              <w:rPr>
                <w:rFonts w:hint="eastAsia" w:ascii="宋体" w:hAnsi="宋体"/>
                <w:szCs w:val="21"/>
              </w:rPr>
              <w:t>3.8 不得否决投标的情形</w:t>
            </w:r>
          </w:p>
          <w:p w14:paraId="4B3BAFAC">
            <w:pPr>
              <w:snapToGrid w:val="0"/>
              <w:spacing w:line="288" w:lineRule="auto"/>
              <w:ind w:firstLine="420" w:firstLineChars="200"/>
              <w:rPr>
                <w:rFonts w:hint="eastAsia" w:ascii="宋体" w:hAnsi="宋体"/>
                <w:szCs w:val="21"/>
              </w:rPr>
            </w:pPr>
            <w:r>
              <w:rPr>
                <w:rFonts w:hint="eastAsia" w:ascii="宋体" w:hAnsi="宋体"/>
                <w:szCs w:val="21"/>
              </w:rPr>
              <w:t>投标文件存在第二章“投标人须知 ”第 1.12.3 项所列情形的，均视为细微偏差，评标委员会不得否决投标人的投标，应按照第二章“投标人须知 ”第 1.12.4 项规定的原则处理。</w:t>
            </w:r>
          </w:p>
          <w:p w14:paraId="66E3EE8A">
            <w:pPr>
              <w:snapToGrid w:val="0"/>
              <w:spacing w:line="288" w:lineRule="auto"/>
              <w:ind w:firstLine="420" w:firstLineChars="200"/>
              <w:rPr>
                <w:rFonts w:hint="eastAsia" w:ascii="宋体" w:hAnsi="宋体"/>
                <w:szCs w:val="21"/>
              </w:rPr>
            </w:pPr>
            <w:r>
              <w:rPr>
                <w:rFonts w:hint="eastAsia" w:ascii="宋体" w:hAnsi="宋体"/>
                <w:szCs w:val="21"/>
              </w:rPr>
              <w:t>3.9 评标结果</w:t>
            </w:r>
          </w:p>
          <w:p w14:paraId="71813CF0">
            <w:pPr>
              <w:snapToGrid w:val="0"/>
              <w:spacing w:line="288" w:lineRule="auto"/>
              <w:ind w:firstLine="420" w:firstLineChars="200"/>
              <w:rPr>
                <w:rFonts w:hint="eastAsia" w:ascii="宋体" w:hAnsi="宋体"/>
                <w:szCs w:val="21"/>
              </w:rPr>
            </w:pPr>
            <w:r>
              <w:rPr>
                <w:rFonts w:hint="eastAsia" w:ascii="宋体" w:hAnsi="宋体"/>
                <w:szCs w:val="21"/>
              </w:rPr>
              <w:t>3.9.1 评标委员会按照综合得分由高到低的顺序推荐中标候选人，并标明排序。</w:t>
            </w:r>
          </w:p>
          <w:p w14:paraId="4B1E56E4">
            <w:pPr>
              <w:snapToGrid w:val="0"/>
              <w:spacing w:line="288" w:lineRule="auto"/>
              <w:ind w:firstLine="420" w:firstLineChars="200"/>
              <w:rPr>
                <w:spacing w:val="8"/>
              </w:rPr>
            </w:pPr>
            <w:r>
              <w:rPr>
                <w:rFonts w:hint="eastAsia" w:ascii="宋体" w:hAnsi="宋体"/>
                <w:szCs w:val="21"/>
              </w:rPr>
              <w:t>3.9.2 评标委员会完成评标后，应向招标人提交书面评标报告。</w:t>
            </w:r>
          </w:p>
        </w:tc>
      </w:tr>
    </w:tbl>
    <w:p w14:paraId="67BA631C">
      <w:pPr>
        <w:pStyle w:val="4"/>
        <w:spacing w:line="323" w:lineRule="auto"/>
      </w:pPr>
    </w:p>
    <w:p w14:paraId="6EF0AAA2">
      <w:pPr>
        <w:spacing w:before="65" w:line="228" w:lineRule="auto"/>
        <w:ind w:left="214"/>
        <w:rPr>
          <w:rFonts w:ascii="宋体" w:hAnsi="宋体" w:eastAsia="宋体" w:cs="宋体"/>
          <w:sz w:val="20"/>
          <w:szCs w:val="20"/>
        </w:rPr>
      </w:pPr>
      <w:r>
        <w:rPr>
          <w:rFonts w:ascii="宋体" w:hAnsi="宋体" w:eastAsia="宋体" w:cs="宋体"/>
          <w:spacing w:val="7"/>
          <w:sz w:val="20"/>
          <w:szCs w:val="20"/>
        </w:rPr>
        <w:t>具体评分标准如下：</w:t>
      </w:r>
    </w:p>
    <w:p w14:paraId="57E1FDE5">
      <w:pPr>
        <w:spacing w:line="151" w:lineRule="exact"/>
      </w:pPr>
    </w:p>
    <w:tbl>
      <w:tblPr>
        <w:tblStyle w:val="5"/>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07"/>
        <w:gridCol w:w="832"/>
        <w:gridCol w:w="1421"/>
        <w:gridCol w:w="638"/>
        <w:gridCol w:w="4570"/>
      </w:tblGrid>
      <w:tr w14:paraId="710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4679" w:type="dxa"/>
            <w:gridSpan w:val="5"/>
            <w:noWrap w:val="0"/>
            <w:vAlign w:val="center"/>
          </w:tcPr>
          <w:p w14:paraId="2D015568">
            <w:pPr>
              <w:spacing w:line="320" w:lineRule="exact"/>
              <w:jc w:val="center"/>
              <w:rPr>
                <w:rFonts w:ascii="宋体" w:hAnsi="宋体"/>
                <w:szCs w:val="21"/>
              </w:rPr>
            </w:pPr>
            <w:r>
              <w:rPr>
                <w:rFonts w:hint="eastAsia" w:ascii="宋体" w:hAnsi="宋体"/>
                <w:szCs w:val="21"/>
              </w:rPr>
              <w:t>评分因素与权重分值</w:t>
            </w:r>
          </w:p>
        </w:tc>
        <w:tc>
          <w:tcPr>
            <w:tcW w:w="4570" w:type="dxa"/>
            <w:vMerge w:val="restart"/>
            <w:noWrap w:val="0"/>
            <w:vAlign w:val="center"/>
          </w:tcPr>
          <w:p w14:paraId="58ACD757">
            <w:pPr>
              <w:spacing w:line="320" w:lineRule="exact"/>
              <w:jc w:val="center"/>
              <w:rPr>
                <w:rFonts w:ascii="宋体" w:hAnsi="宋体"/>
                <w:szCs w:val="21"/>
              </w:rPr>
            </w:pPr>
            <w:r>
              <w:rPr>
                <w:rFonts w:hint="eastAsia" w:ascii="宋体" w:hAnsi="宋体"/>
                <w:szCs w:val="21"/>
              </w:rPr>
              <w:t>评分标准</w:t>
            </w:r>
          </w:p>
        </w:tc>
      </w:tr>
      <w:tr w14:paraId="4FF5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blHeader/>
          <w:jc w:val="center"/>
        </w:trPr>
        <w:tc>
          <w:tcPr>
            <w:tcW w:w="881" w:type="dxa"/>
            <w:noWrap w:val="0"/>
            <w:vAlign w:val="center"/>
          </w:tcPr>
          <w:p w14:paraId="2027EA8B">
            <w:pPr>
              <w:spacing w:line="320" w:lineRule="exact"/>
              <w:jc w:val="center"/>
              <w:rPr>
                <w:rFonts w:ascii="宋体" w:hAnsi="宋体"/>
                <w:szCs w:val="21"/>
              </w:rPr>
            </w:pPr>
            <w:r>
              <w:rPr>
                <w:rFonts w:hint="eastAsia" w:ascii="宋体" w:hAnsi="宋体"/>
                <w:szCs w:val="21"/>
              </w:rPr>
              <w:t>条款号</w:t>
            </w:r>
          </w:p>
        </w:tc>
        <w:tc>
          <w:tcPr>
            <w:tcW w:w="907" w:type="dxa"/>
            <w:noWrap w:val="0"/>
            <w:vAlign w:val="center"/>
          </w:tcPr>
          <w:p w14:paraId="57EE5EA5">
            <w:pPr>
              <w:spacing w:line="320" w:lineRule="exact"/>
              <w:jc w:val="center"/>
              <w:rPr>
                <w:rFonts w:ascii="宋体" w:hAnsi="宋体"/>
                <w:szCs w:val="21"/>
              </w:rPr>
            </w:pPr>
            <w:r>
              <w:rPr>
                <w:rFonts w:hint="eastAsia" w:ascii="宋体" w:hAnsi="宋体"/>
                <w:szCs w:val="21"/>
              </w:rPr>
              <w:t>评分因素</w:t>
            </w:r>
          </w:p>
        </w:tc>
        <w:tc>
          <w:tcPr>
            <w:tcW w:w="832" w:type="dxa"/>
            <w:noWrap w:val="0"/>
            <w:vAlign w:val="center"/>
          </w:tcPr>
          <w:p w14:paraId="5EF6B07F">
            <w:pPr>
              <w:spacing w:line="320" w:lineRule="exact"/>
              <w:jc w:val="center"/>
              <w:rPr>
                <w:rFonts w:ascii="宋体" w:hAnsi="宋体"/>
                <w:szCs w:val="21"/>
              </w:rPr>
            </w:pPr>
            <w:r>
              <w:rPr>
                <w:rFonts w:hint="eastAsia" w:ascii="宋体" w:hAnsi="宋体"/>
                <w:szCs w:val="21"/>
              </w:rPr>
              <w:t>评分因素 权重分值</w:t>
            </w:r>
          </w:p>
        </w:tc>
        <w:tc>
          <w:tcPr>
            <w:tcW w:w="1421" w:type="dxa"/>
            <w:noWrap w:val="0"/>
            <w:vAlign w:val="center"/>
          </w:tcPr>
          <w:p w14:paraId="4B1C4FB6">
            <w:pPr>
              <w:spacing w:line="320" w:lineRule="exact"/>
              <w:jc w:val="center"/>
              <w:rPr>
                <w:rFonts w:ascii="宋体" w:hAnsi="宋体"/>
                <w:szCs w:val="21"/>
              </w:rPr>
            </w:pPr>
            <w:r>
              <w:rPr>
                <w:rFonts w:ascii="宋体" w:hAnsi="宋体"/>
                <w:smallCaps/>
                <w:szCs w:val="21"/>
              </w:rPr>
              <w:t>各评分因素细分项</w:t>
            </w:r>
          </w:p>
        </w:tc>
        <w:tc>
          <w:tcPr>
            <w:tcW w:w="638" w:type="dxa"/>
            <w:noWrap w:val="0"/>
            <w:vAlign w:val="center"/>
          </w:tcPr>
          <w:p w14:paraId="6C3252E2">
            <w:pPr>
              <w:spacing w:line="320" w:lineRule="exact"/>
              <w:jc w:val="center"/>
              <w:rPr>
                <w:rFonts w:ascii="宋体" w:hAnsi="宋体"/>
                <w:szCs w:val="21"/>
              </w:rPr>
            </w:pPr>
            <w:r>
              <w:rPr>
                <w:rFonts w:hint="eastAsia" w:ascii="宋体" w:hAnsi="宋体"/>
                <w:szCs w:val="21"/>
              </w:rPr>
              <w:t>分值</w:t>
            </w:r>
          </w:p>
        </w:tc>
        <w:tc>
          <w:tcPr>
            <w:tcW w:w="4570" w:type="dxa"/>
            <w:vMerge w:val="continue"/>
            <w:noWrap w:val="0"/>
            <w:vAlign w:val="center"/>
          </w:tcPr>
          <w:p w14:paraId="3653A365">
            <w:pPr>
              <w:spacing w:line="320" w:lineRule="exact"/>
              <w:jc w:val="center"/>
              <w:rPr>
                <w:rFonts w:ascii="宋体" w:hAnsi="宋体"/>
                <w:szCs w:val="21"/>
              </w:rPr>
            </w:pPr>
          </w:p>
        </w:tc>
      </w:tr>
      <w:tr w14:paraId="1832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881" w:type="dxa"/>
            <w:vMerge w:val="restart"/>
            <w:noWrap w:val="0"/>
            <w:vAlign w:val="center"/>
          </w:tcPr>
          <w:p w14:paraId="647A1362">
            <w:pPr>
              <w:spacing w:line="320" w:lineRule="exact"/>
              <w:jc w:val="center"/>
              <w:rPr>
                <w:rFonts w:ascii="宋体" w:hAnsi="宋体"/>
                <w:szCs w:val="21"/>
              </w:rPr>
            </w:pPr>
            <w:r>
              <w:rPr>
                <w:rFonts w:hint="eastAsia" w:ascii="宋体" w:hAnsi="宋体"/>
                <w:szCs w:val="21"/>
              </w:rPr>
              <w:t>2.2.4（1）</w:t>
            </w:r>
          </w:p>
        </w:tc>
        <w:tc>
          <w:tcPr>
            <w:tcW w:w="907" w:type="dxa"/>
            <w:vMerge w:val="restart"/>
            <w:noWrap w:val="0"/>
            <w:vAlign w:val="center"/>
          </w:tcPr>
          <w:p w14:paraId="2DC60E48">
            <w:pPr>
              <w:jc w:val="center"/>
              <w:rPr>
                <w:rFonts w:hint="eastAsia" w:ascii="宋体" w:hAnsi="宋体"/>
                <w:szCs w:val="21"/>
              </w:rPr>
            </w:pPr>
            <w:r>
              <w:rPr>
                <w:rFonts w:hint="eastAsia" w:ascii="宋体" w:hAnsi="宋体"/>
                <w:szCs w:val="21"/>
              </w:rPr>
              <w:t>承包人建议书（暗标）</w:t>
            </w:r>
          </w:p>
        </w:tc>
        <w:tc>
          <w:tcPr>
            <w:tcW w:w="832" w:type="dxa"/>
            <w:vMerge w:val="restart"/>
            <w:noWrap w:val="0"/>
            <w:vAlign w:val="center"/>
          </w:tcPr>
          <w:p w14:paraId="6B3E5977">
            <w:pPr>
              <w:spacing w:line="320" w:lineRule="exact"/>
              <w:jc w:val="center"/>
              <w:rPr>
                <w:rFonts w:hint="default" w:ascii="宋体" w:hAnsi="宋体" w:eastAsia="宋体"/>
                <w:szCs w:val="21"/>
                <w:lang w:val="en-US" w:eastAsia="zh-CN"/>
              </w:rPr>
            </w:pPr>
            <w:r>
              <w:rPr>
                <w:rFonts w:hint="eastAsia" w:ascii="宋体" w:hAnsi="宋体"/>
                <w:szCs w:val="21"/>
                <w:lang w:val="en-US" w:eastAsia="zh-CN"/>
              </w:rPr>
              <w:t>15分</w:t>
            </w:r>
          </w:p>
        </w:tc>
        <w:tc>
          <w:tcPr>
            <w:tcW w:w="1421" w:type="dxa"/>
            <w:noWrap w:val="0"/>
            <w:vAlign w:val="top"/>
          </w:tcPr>
          <w:p w14:paraId="35F22EDC">
            <w:pPr>
              <w:jc w:val="center"/>
              <w:rPr>
                <w:rFonts w:hint="eastAsia" w:ascii="宋体" w:hAnsi="宋体" w:eastAsia="宋体" w:cs="Times New Roman"/>
                <w:szCs w:val="21"/>
              </w:rPr>
            </w:pPr>
          </w:p>
          <w:p w14:paraId="359C6229">
            <w:pPr>
              <w:jc w:val="center"/>
              <w:rPr>
                <w:rFonts w:hint="eastAsia" w:ascii="宋体" w:hAnsi="宋体" w:eastAsia="宋体" w:cs="Times New Roman"/>
                <w:szCs w:val="21"/>
              </w:rPr>
            </w:pPr>
            <w:r>
              <w:rPr>
                <w:rFonts w:hint="eastAsia" w:ascii="宋体" w:hAnsi="宋体" w:eastAsia="宋体" w:cs="Times New Roman"/>
                <w:szCs w:val="21"/>
              </w:rPr>
              <w:t>对项目的理解和总体设计思路</w:t>
            </w:r>
          </w:p>
        </w:tc>
        <w:tc>
          <w:tcPr>
            <w:tcW w:w="638" w:type="dxa"/>
            <w:noWrap w:val="0"/>
            <w:vAlign w:val="top"/>
          </w:tcPr>
          <w:p w14:paraId="74F8EC55">
            <w:pPr>
              <w:jc w:val="center"/>
              <w:rPr>
                <w:rFonts w:hint="eastAsia" w:ascii="宋体" w:hAnsi="宋体" w:eastAsia="宋体" w:cs="Times New Roman"/>
                <w:szCs w:val="21"/>
              </w:rPr>
            </w:pPr>
          </w:p>
          <w:p w14:paraId="780A3A55">
            <w:pPr>
              <w:jc w:val="center"/>
              <w:rPr>
                <w:rFonts w:hint="eastAsia" w:ascii="宋体" w:hAnsi="宋体" w:eastAsia="宋体" w:cs="Times New Roman"/>
                <w:szCs w:val="21"/>
              </w:rPr>
            </w:pPr>
          </w:p>
          <w:p w14:paraId="4BE1998C">
            <w:pPr>
              <w:jc w:val="center"/>
              <w:rPr>
                <w:rFonts w:hint="eastAsia" w:ascii="宋体" w:hAnsi="宋体" w:eastAsia="宋体" w:cs="Times New Roman"/>
                <w:szCs w:val="21"/>
              </w:rPr>
            </w:pPr>
          </w:p>
          <w:p w14:paraId="0AE836B9">
            <w:pPr>
              <w:jc w:val="center"/>
              <w:rPr>
                <w:rFonts w:hint="eastAsia" w:ascii="宋体" w:hAnsi="宋体" w:eastAsia="宋体" w:cs="Times New Roman"/>
                <w:szCs w:val="21"/>
              </w:rPr>
            </w:pPr>
            <w:r>
              <w:rPr>
                <w:rFonts w:hint="eastAsia" w:ascii="宋体" w:hAnsi="宋体" w:eastAsia="宋体" w:cs="Times New Roman"/>
                <w:szCs w:val="21"/>
              </w:rPr>
              <w:t>4 分</w:t>
            </w:r>
          </w:p>
        </w:tc>
        <w:tc>
          <w:tcPr>
            <w:tcW w:w="4570" w:type="dxa"/>
            <w:noWrap w:val="0"/>
            <w:vAlign w:val="top"/>
          </w:tcPr>
          <w:p w14:paraId="1AAA7967">
            <w:pPr>
              <w:jc w:val="left"/>
              <w:rPr>
                <w:rFonts w:hint="eastAsia" w:ascii="宋体" w:hAnsi="宋体" w:eastAsia="宋体" w:cs="Times New Roman"/>
                <w:szCs w:val="21"/>
              </w:rPr>
            </w:pPr>
            <w:r>
              <w:rPr>
                <w:rFonts w:hint="eastAsia" w:ascii="宋体" w:hAnsi="宋体" w:eastAsia="宋体" w:cs="Times New Roman"/>
                <w:szCs w:val="21"/>
              </w:rPr>
              <w:t>对招标项目的理解和总体思路合理，清晰准确， 得 3.2-4.0 分；</w:t>
            </w:r>
          </w:p>
          <w:p w14:paraId="184D6E04">
            <w:pPr>
              <w:jc w:val="left"/>
              <w:rPr>
                <w:rFonts w:hint="eastAsia" w:ascii="宋体" w:hAnsi="宋体" w:eastAsia="宋体" w:cs="Times New Roman"/>
                <w:szCs w:val="21"/>
              </w:rPr>
            </w:pPr>
            <w:r>
              <w:rPr>
                <w:rFonts w:hint="eastAsia" w:ascii="宋体" w:hAnsi="宋体" w:eastAsia="宋体" w:cs="Times New Roman"/>
                <w:szCs w:val="21"/>
              </w:rPr>
              <w:t>对招标项目的理解和总体思路较合理，得 2.4-3.2 分；</w:t>
            </w:r>
          </w:p>
          <w:p w14:paraId="7A8D3D70">
            <w:pPr>
              <w:jc w:val="left"/>
              <w:rPr>
                <w:rFonts w:hint="eastAsia" w:ascii="宋体" w:hAnsi="宋体" w:eastAsia="宋体" w:cs="Times New Roman"/>
                <w:szCs w:val="21"/>
              </w:rPr>
            </w:pPr>
            <w:r>
              <w:rPr>
                <w:rFonts w:hint="eastAsia" w:ascii="宋体" w:hAnsi="宋体" w:eastAsia="宋体" w:cs="Times New Roman"/>
                <w:szCs w:val="21"/>
              </w:rPr>
              <w:t>对招标项目的理解和总体思路基本合理，得 2.4 分。</w:t>
            </w:r>
          </w:p>
        </w:tc>
      </w:tr>
      <w:tr w14:paraId="4A0C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81" w:type="dxa"/>
            <w:vMerge w:val="continue"/>
            <w:noWrap w:val="0"/>
            <w:vAlign w:val="center"/>
          </w:tcPr>
          <w:p w14:paraId="03A35AF6">
            <w:pPr>
              <w:pStyle w:val="3"/>
              <w:spacing w:line="160" w:lineRule="atLeast"/>
              <w:jc w:val="center"/>
              <w:rPr>
                <w:rFonts w:ascii="宋体" w:hAnsi="宋体"/>
              </w:rPr>
            </w:pPr>
          </w:p>
        </w:tc>
        <w:tc>
          <w:tcPr>
            <w:tcW w:w="907" w:type="dxa"/>
            <w:vMerge w:val="continue"/>
            <w:noWrap w:val="0"/>
            <w:vAlign w:val="center"/>
          </w:tcPr>
          <w:p w14:paraId="55F2871A">
            <w:pPr>
              <w:pStyle w:val="3"/>
              <w:spacing w:line="160" w:lineRule="atLeast"/>
              <w:jc w:val="center"/>
              <w:rPr>
                <w:rFonts w:ascii="宋体" w:hAnsi="宋体"/>
                <w:szCs w:val="21"/>
              </w:rPr>
            </w:pPr>
          </w:p>
        </w:tc>
        <w:tc>
          <w:tcPr>
            <w:tcW w:w="832" w:type="dxa"/>
            <w:vMerge w:val="continue"/>
            <w:noWrap w:val="0"/>
            <w:vAlign w:val="center"/>
          </w:tcPr>
          <w:p w14:paraId="4DCCE2F0">
            <w:pPr>
              <w:spacing w:line="320" w:lineRule="exact"/>
              <w:jc w:val="center"/>
              <w:rPr>
                <w:rFonts w:ascii="宋体" w:hAnsi="宋体"/>
                <w:szCs w:val="21"/>
              </w:rPr>
            </w:pPr>
          </w:p>
        </w:tc>
        <w:tc>
          <w:tcPr>
            <w:tcW w:w="1421" w:type="dxa"/>
            <w:noWrap w:val="0"/>
            <w:vAlign w:val="top"/>
          </w:tcPr>
          <w:p w14:paraId="213187D4">
            <w:pPr>
              <w:jc w:val="center"/>
              <w:rPr>
                <w:rFonts w:hint="eastAsia" w:ascii="宋体" w:hAnsi="宋体" w:eastAsia="宋体" w:cs="Times New Roman"/>
                <w:szCs w:val="21"/>
              </w:rPr>
            </w:pPr>
          </w:p>
          <w:p w14:paraId="1EDAF82F">
            <w:pPr>
              <w:jc w:val="center"/>
              <w:rPr>
                <w:rFonts w:hint="eastAsia" w:ascii="宋体" w:hAnsi="宋体" w:eastAsia="宋体" w:cs="Times New Roman"/>
                <w:szCs w:val="21"/>
              </w:rPr>
            </w:pPr>
            <w:r>
              <w:rPr>
                <w:rFonts w:hint="eastAsia" w:ascii="宋体" w:hAnsi="宋体" w:eastAsia="宋体" w:cs="Times New Roman"/>
                <w:szCs w:val="21"/>
                <w:lang w:val="en-US" w:eastAsia="zh-CN"/>
              </w:rPr>
              <w:t>勘察</w:t>
            </w:r>
            <w:r>
              <w:rPr>
                <w:rFonts w:hint="eastAsia" w:ascii="宋体" w:hAnsi="宋体" w:eastAsia="宋体" w:cs="Times New Roman"/>
                <w:szCs w:val="21"/>
              </w:rPr>
              <w:t>设计工作方案</w:t>
            </w:r>
          </w:p>
        </w:tc>
        <w:tc>
          <w:tcPr>
            <w:tcW w:w="638" w:type="dxa"/>
            <w:noWrap w:val="0"/>
            <w:vAlign w:val="top"/>
          </w:tcPr>
          <w:p w14:paraId="7574741E">
            <w:pPr>
              <w:jc w:val="center"/>
              <w:rPr>
                <w:rFonts w:hint="eastAsia" w:ascii="宋体" w:hAnsi="宋体" w:eastAsia="宋体" w:cs="Times New Roman"/>
                <w:szCs w:val="21"/>
              </w:rPr>
            </w:pPr>
          </w:p>
          <w:p w14:paraId="28EC4B20">
            <w:pPr>
              <w:jc w:val="center"/>
              <w:rPr>
                <w:rFonts w:hint="eastAsia" w:ascii="宋体" w:hAnsi="宋体" w:eastAsia="宋体" w:cs="Times New Roman"/>
                <w:szCs w:val="21"/>
              </w:rPr>
            </w:pPr>
            <w:r>
              <w:rPr>
                <w:rFonts w:hint="eastAsia" w:ascii="宋体" w:hAnsi="宋体" w:eastAsia="宋体" w:cs="Times New Roman"/>
                <w:szCs w:val="21"/>
              </w:rPr>
              <w:t>7 分</w:t>
            </w:r>
          </w:p>
        </w:tc>
        <w:tc>
          <w:tcPr>
            <w:tcW w:w="4570" w:type="dxa"/>
            <w:noWrap w:val="0"/>
            <w:vAlign w:val="top"/>
          </w:tcPr>
          <w:p w14:paraId="5A94A447">
            <w:pPr>
              <w:jc w:val="left"/>
              <w:rPr>
                <w:rFonts w:hint="eastAsia" w:ascii="宋体" w:hAnsi="宋体" w:eastAsia="宋体" w:cs="Times New Roman"/>
                <w:szCs w:val="21"/>
              </w:rPr>
            </w:pPr>
            <w:r>
              <w:rPr>
                <w:rFonts w:hint="eastAsia" w:ascii="宋体" w:hAnsi="宋体" w:eastAsia="宋体" w:cs="Times New Roman"/>
                <w:szCs w:val="21"/>
              </w:rPr>
              <w:t>设计工作方案合理、突出、详细，得 5.6-7.0 分；</w:t>
            </w:r>
          </w:p>
          <w:p w14:paraId="25F9CA51">
            <w:pPr>
              <w:jc w:val="left"/>
              <w:rPr>
                <w:rFonts w:hint="eastAsia" w:ascii="宋体" w:hAnsi="宋体" w:eastAsia="宋体" w:cs="Times New Roman"/>
                <w:szCs w:val="21"/>
              </w:rPr>
            </w:pPr>
            <w:r>
              <w:rPr>
                <w:rFonts w:hint="eastAsia" w:ascii="宋体" w:hAnsi="宋体" w:eastAsia="宋体" w:cs="Times New Roman"/>
                <w:szCs w:val="21"/>
              </w:rPr>
              <w:t xml:space="preserve">设计工作方案较合理、实施性较强，得4.2-5.6 分； </w:t>
            </w:r>
          </w:p>
          <w:p w14:paraId="261118BB">
            <w:pPr>
              <w:jc w:val="left"/>
              <w:rPr>
                <w:rFonts w:hint="eastAsia" w:ascii="宋体" w:hAnsi="宋体" w:eastAsia="宋体" w:cs="Times New Roman"/>
                <w:szCs w:val="21"/>
              </w:rPr>
            </w:pPr>
            <w:r>
              <w:rPr>
                <w:rFonts w:hint="eastAsia" w:ascii="宋体" w:hAnsi="宋体" w:eastAsia="宋体" w:cs="Times New Roman"/>
                <w:szCs w:val="21"/>
              </w:rPr>
              <w:t>设计工作方案基本合理、实施性一般，得 4.2 分。</w:t>
            </w:r>
          </w:p>
        </w:tc>
      </w:tr>
      <w:tr w14:paraId="2E3A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81" w:type="dxa"/>
            <w:vMerge w:val="continue"/>
            <w:noWrap w:val="0"/>
            <w:vAlign w:val="center"/>
          </w:tcPr>
          <w:p w14:paraId="15150889">
            <w:pPr>
              <w:pStyle w:val="3"/>
              <w:spacing w:line="160" w:lineRule="atLeast"/>
              <w:jc w:val="center"/>
              <w:rPr>
                <w:rFonts w:ascii="宋体" w:hAnsi="宋体"/>
              </w:rPr>
            </w:pPr>
          </w:p>
        </w:tc>
        <w:tc>
          <w:tcPr>
            <w:tcW w:w="907" w:type="dxa"/>
            <w:vMerge w:val="continue"/>
            <w:noWrap w:val="0"/>
            <w:vAlign w:val="center"/>
          </w:tcPr>
          <w:p w14:paraId="66C440AF">
            <w:pPr>
              <w:pStyle w:val="3"/>
              <w:spacing w:line="160" w:lineRule="atLeast"/>
              <w:jc w:val="center"/>
              <w:rPr>
                <w:rFonts w:ascii="宋体" w:hAnsi="宋体"/>
                <w:szCs w:val="21"/>
              </w:rPr>
            </w:pPr>
          </w:p>
        </w:tc>
        <w:tc>
          <w:tcPr>
            <w:tcW w:w="832" w:type="dxa"/>
            <w:vMerge w:val="continue"/>
            <w:noWrap w:val="0"/>
            <w:vAlign w:val="center"/>
          </w:tcPr>
          <w:p w14:paraId="590B7C69">
            <w:pPr>
              <w:spacing w:line="320" w:lineRule="exact"/>
              <w:jc w:val="center"/>
              <w:rPr>
                <w:rFonts w:ascii="宋体" w:hAnsi="宋体"/>
                <w:szCs w:val="21"/>
              </w:rPr>
            </w:pPr>
          </w:p>
        </w:tc>
        <w:tc>
          <w:tcPr>
            <w:tcW w:w="1421" w:type="dxa"/>
            <w:noWrap w:val="0"/>
            <w:vAlign w:val="top"/>
          </w:tcPr>
          <w:p w14:paraId="3E4CCCA0">
            <w:pPr>
              <w:jc w:val="center"/>
              <w:rPr>
                <w:rFonts w:hint="eastAsia" w:ascii="宋体" w:hAnsi="宋体" w:eastAsia="宋体" w:cs="Times New Roman"/>
                <w:szCs w:val="21"/>
              </w:rPr>
            </w:pPr>
          </w:p>
          <w:p w14:paraId="5EAE2BB6">
            <w:pPr>
              <w:jc w:val="center"/>
              <w:rPr>
                <w:rFonts w:hint="eastAsia" w:ascii="宋体" w:hAnsi="宋体" w:eastAsia="宋体" w:cs="Times New Roman"/>
                <w:szCs w:val="21"/>
              </w:rPr>
            </w:pPr>
            <w:r>
              <w:rPr>
                <w:rFonts w:hint="eastAsia" w:ascii="宋体" w:hAnsi="宋体" w:eastAsia="宋体" w:cs="Times New Roman"/>
                <w:szCs w:val="21"/>
              </w:rPr>
              <w:t>勘察设计的质量保证措施、进度保证措施、安全保证措施</w:t>
            </w:r>
          </w:p>
        </w:tc>
        <w:tc>
          <w:tcPr>
            <w:tcW w:w="638" w:type="dxa"/>
            <w:noWrap w:val="0"/>
            <w:vAlign w:val="top"/>
          </w:tcPr>
          <w:p w14:paraId="0422BD8F">
            <w:pPr>
              <w:jc w:val="center"/>
              <w:rPr>
                <w:rFonts w:hint="eastAsia" w:ascii="宋体" w:hAnsi="宋体" w:eastAsia="宋体" w:cs="Times New Roman"/>
                <w:szCs w:val="21"/>
              </w:rPr>
            </w:pPr>
          </w:p>
          <w:p w14:paraId="2797F0AD">
            <w:pPr>
              <w:jc w:val="center"/>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分</w:t>
            </w:r>
          </w:p>
        </w:tc>
        <w:tc>
          <w:tcPr>
            <w:tcW w:w="4570" w:type="dxa"/>
            <w:noWrap w:val="0"/>
            <w:vAlign w:val="top"/>
          </w:tcPr>
          <w:p w14:paraId="22140C94">
            <w:pPr>
              <w:jc w:val="left"/>
              <w:rPr>
                <w:rFonts w:hint="eastAsia" w:ascii="宋体" w:hAnsi="宋体" w:eastAsia="宋体" w:cs="Times New Roman"/>
                <w:szCs w:val="21"/>
              </w:rPr>
            </w:pPr>
            <w:r>
              <w:rPr>
                <w:rFonts w:hint="eastAsia" w:ascii="宋体" w:hAnsi="宋体" w:eastAsia="宋体" w:cs="Times New Roman"/>
                <w:szCs w:val="21"/>
              </w:rPr>
              <w:t>质量及进度保证措施具体可靠，可实施性强，适合本项目，得3.2-4.0分；</w:t>
            </w:r>
          </w:p>
          <w:p w14:paraId="7AFDCD61">
            <w:pPr>
              <w:jc w:val="left"/>
              <w:rPr>
                <w:rFonts w:hint="eastAsia" w:ascii="宋体" w:hAnsi="宋体" w:eastAsia="宋体" w:cs="Times New Roman"/>
                <w:szCs w:val="21"/>
              </w:rPr>
            </w:pPr>
            <w:r>
              <w:rPr>
                <w:rFonts w:hint="eastAsia" w:ascii="宋体" w:hAnsi="宋体" w:eastAsia="宋体" w:cs="Times New Roman"/>
                <w:szCs w:val="21"/>
              </w:rPr>
              <w:t>质量及进度保证措施较具体，可实施性较强，得2.4-3.2 分；</w:t>
            </w:r>
          </w:p>
          <w:p w14:paraId="25EF0366">
            <w:pPr>
              <w:jc w:val="left"/>
              <w:rPr>
                <w:rFonts w:hint="eastAsia" w:ascii="宋体" w:hAnsi="宋体" w:eastAsia="宋体" w:cs="Times New Roman"/>
                <w:szCs w:val="21"/>
              </w:rPr>
            </w:pPr>
            <w:r>
              <w:rPr>
                <w:rFonts w:hint="eastAsia" w:ascii="宋体" w:hAnsi="宋体" w:eastAsia="宋体" w:cs="Times New Roman"/>
                <w:szCs w:val="21"/>
              </w:rPr>
              <w:t>质量及进度保证措施不够具体，可实施性一般，得 2.4 分。</w:t>
            </w:r>
          </w:p>
        </w:tc>
      </w:tr>
      <w:tr w14:paraId="4440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1" w:type="dxa"/>
            <w:vMerge w:val="restart"/>
            <w:noWrap w:val="0"/>
            <w:vAlign w:val="center"/>
          </w:tcPr>
          <w:p w14:paraId="3A6000B6">
            <w:pPr>
              <w:spacing w:line="320" w:lineRule="exact"/>
              <w:jc w:val="center"/>
              <w:rPr>
                <w:rFonts w:ascii="宋体" w:hAnsi="宋体"/>
                <w:szCs w:val="21"/>
              </w:rPr>
            </w:pPr>
            <w:r>
              <w:rPr>
                <w:rFonts w:hint="eastAsia" w:ascii="宋体" w:hAnsi="宋体"/>
                <w:szCs w:val="21"/>
              </w:rPr>
              <w:t>2</w:t>
            </w:r>
            <w:r>
              <w:rPr>
                <w:rFonts w:ascii="宋体" w:hAnsi="宋体"/>
                <w:szCs w:val="21"/>
              </w:rPr>
              <w:t>.2.4</w:t>
            </w:r>
            <w:r>
              <w:rPr>
                <w:rFonts w:hint="eastAsia" w:ascii="宋体" w:hAnsi="宋体"/>
                <w:szCs w:val="21"/>
              </w:rPr>
              <w:t>（2）</w:t>
            </w:r>
          </w:p>
        </w:tc>
        <w:tc>
          <w:tcPr>
            <w:tcW w:w="907" w:type="dxa"/>
            <w:vMerge w:val="restart"/>
            <w:noWrap w:val="0"/>
            <w:vAlign w:val="center"/>
          </w:tcPr>
          <w:p w14:paraId="6AB95923">
            <w:pPr>
              <w:spacing w:line="320" w:lineRule="exact"/>
              <w:jc w:val="center"/>
              <w:rPr>
                <w:rFonts w:ascii="宋体" w:hAnsi="宋体"/>
                <w:szCs w:val="21"/>
              </w:rPr>
            </w:pPr>
            <w:r>
              <w:rPr>
                <w:rFonts w:hint="eastAsia" w:ascii="宋体" w:hAnsi="宋体"/>
                <w:szCs w:val="21"/>
              </w:rPr>
              <w:t>资信</w:t>
            </w:r>
          </w:p>
          <w:p w14:paraId="321C210F">
            <w:pPr>
              <w:spacing w:line="320" w:lineRule="exact"/>
              <w:jc w:val="center"/>
              <w:rPr>
                <w:rFonts w:ascii="宋体" w:hAnsi="宋体"/>
                <w:szCs w:val="21"/>
              </w:rPr>
            </w:pPr>
            <w:r>
              <w:rPr>
                <w:rFonts w:hint="eastAsia" w:ascii="宋体" w:hAnsi="宋体"/>
                <w:szCs w:val="21"/>
              </w:rPr>
              <w:t>业绩</w:t>
            </w:r>
          </w:p>
        </w:tc>
        <w:tc>
          <w:tcPr>
            <w:tcW w:w="832" w:type="dxa"/>
            <w:vMerge w:val="restart"/>
            <w:noWrap w:val="0"/>
            <w:vAlign w:val="top"/>
          </w:tcPr>
          <w:p w14:paraId="55495E8D">
            <w:pPr>
              <w:spacing w:line="248" w:lineRule="auto"/>
              <w:rPr>
                <w:rFonts w:ascii="Arial"/>
                <w:sz w:val="21"/>
              </w:rPr>
            </w:pPr>
          </w:p>
          <w:p w14:paraId="6E74EAD2">
            <w:pPr>
              <w:spacing w:line="248" w:lineRule="auto"/>
              <w:rPr>
                <w:rFonts w:ascii="Arial"/>
                <w:sz w:val="21"/>
              </w:rPr>
            </w:pPr>
          </w:p>
          <w:p w14:paraId="737B710D">
            <w:pPr>
              <w:spacing w:line="248" w:lineRule="auto"/>
              <w:rPr>
                <w:rFonts w:ascii="Arial"/>
                <w:sz w:val="21"/>
              </w:rPr>
            </w:pPr>
          </w:p>
          <w:p w14:paraId="77974F21">
            <w:pPr>
              <w:spacing w:line="248" w:lineRule="auto"/>
              <w:rPr>
                <w:rFonts w:ascii="Arial"/>
                <w:sz w:val="21"/>
              </w:rPr>
            </w:pPr>
          </w:p>
          <w:p w14:paraId="68C27A06">
            <w:pPr>
              <w:pStyle w:val="8"/>
              <w:spacing w:before="65" w:line="228" w:lineRule="auto"/>
              <w:ind w:left="173" w:leftChars="0"/>
              <w:rPr>
                <w:rFonts w:ascii="宋体" w:hAnsi="宋体"/>
                <w:szCs w:val="21"/>
              </w:rPr>
            </w:pPr>
            <w:r>
              <w:rPr>
                <w:rFonts w:hint="eastAsia"/>
                <w:spacing w:val="-5"/>
                <w:lang w:val="en-US" w:eastAsia="zh-CN"/>
              </w:rPr>
              <w:t>15</w:t>
            </w:r>
            <w:r>
              <w:rPr>
                <w:spacing w:val="-5"/>
              </w:rPr>
              <w:t>分</w:t>
            </w:r>
          </w:p>
        </w:tc>
        <w:tc>
          <w:tcPr>
            <w:tcW w:w="1421" w:type="dxa"/>
            <w:vMerge w:val="restart"/>
            <w:noWrap w:val="0"/>
            <w:vAlign w:val="top"/>
          </w:tcPr>
          <w:p w14:paraId="07B2C3F1">
            <w:pPr>
              <w:spacing w:line="253" w:lineRule="auto"/>
              <w:rPr>
                <w:rFonts w:ascii="Arial"/>
                <w:sz w:val="21"/>
              </w:rPr>
            </w:pPr>
          </w:p>
          <w:p w14:paraId="0A3E9204">
            <w:pPr>
              <w:spacing w:line="254" w:lineRule="auto"/>
              <w:rPr>
                <w:rFonts w:ascii="Arial"/>
                <w:sz w:val="21"/>
              </w:rPr>
            </w:pPr>
          </w:p>
          <w:p w14:paraId="77465677">
            <w:pPr>
              <w:spacing w:line="254" w:lineRule="auto"/>
              <w:rPr>
                <w:rFonts w:ascii="Arial"/>
                <w:sz w:val="21"/>
              </w:rPr>
            </w:pPr>
          </w:p>
          <w:p w14:paraId="7CDC78E3">
            <w:pPr>
              <w:spacing w:line="254" w:lineRule="auto"/>
              <w:rPr>
                <w:rFonts w:ascii="Arial"/>
                <w:sz w:val="21"/>
              </w:rPr>
            </w:pPr>
          </w:p>
          <w:p w14:paraId="21960059">
            <w:pPr>
              <w:pStyle w:val="8"/>
              <w:spacing w:before="65" w:line="228" w:lineRule="auto"/>
              <w:ind w:left="165" w:leftChars="0"/>
              <w:rPr>
                <w:rFonts w:ascii="宋体" w:hAnsi="宋体"/>
                <w:szCs w:val="21"/>
              </w:rPr>
            </w:pPr>
            <w:r>
              <w:rPr>
                <w:spacing w:val="8"/>
              </w:rPr>
              <w:t>类似工程业绩</w:t>
            </w:r>
          </w:p>
        </w:tc>
        <w:tc>
          <w:tcPr>
            <w:tcW w:w="638" w:type="dxa"/>
            <w:vMerge w:val="restart"/>
            <w:noWrap w:val="0"/>
            <w:vAlign w:val="top"/>
          </w:tcPr>
          <w:p w14:paraId="24D3191D">
            <w:pPr>
              <w:spacing w:line="242" w:lineRule="auto"/>
              <w:rPr>
                <w:rFonts w:ascii="Arial"/>
                <w:sz w:val="21"/>
              </w:rPr>
            </w:pPr>
          </w:p>
          <w:p w14:paraId="51E3FB80">
            <w:pPr>
              <w:spacing w:line="242" w:lineRule="auto"/>
              <w:rPr>
                <w:rFonts w:ascii="Arial"/>
                <w:sz w:val="21"/>
              </w:rPr>
            </w:pPr>
          </w:p>
          <w:p w14:paraId="5CFA1143">
            <w:pPr>
              <w:spacing w:line="243" w:lineRule="auto"/>
              <w:rPr>
                <w:rFonts w:ascii="Arial"/>
                <w:sz w:val="21"/>
              </w:rPr>
            </w:pPr>
          </w:p>
          <w:p w14:paraId="45DBC8A4">
            <w:pPr>
              <w:spacing w:line="243" w:lineRule="auto"/>
              <w:rPr>
                <w:rFonts w:ascii="Arial"/>
                <w:sz w:val="21"/>
              </w:rPr>
            </w:pPr>
          </w:p>
          <w:p w14:paraId="1DD8227B">
            <w:pPr>
              <w:pStyle w:val="8"/>
              <w:spacing w:before="65" w:line="228" w:lineRule="auto"/>
              <w:ind w:left="150" w:leftChars="0"/>
              <w:rPr>
                <w:rFonts w:ascii="宋体" w:hAnsi="宋体"/>
              </w:rPr>
            </w:pPr>
            <w:r>
              <w:rPr>
                <w:rFonts w:hint="eastAsia"/>
                <w:spacing w:val="-5"/>
                <w:lang w:val="en-US" w:eastAsia="zh-CN"/>
              </w:rPr>
              <w:t>15</w:t>
            </w:r>
            <w:r>
              <w:rPr>
                <w:spacing w:val="-38"/>
              </w:rPr>
              <w:t xml:space="preserve"> </w:t>
            </w:r>
            <w:r>
              <w:rPr>
                <w:spacing w:val="-5"/>
              </w:rPr>
              <w:t>分</w:t>
            </w:r>
          </w:p>
        </w:tc>
        <w:tc>
          <w:tcPr>
            <w:tcW w:w="4570" w:type="dxa"/>
            <w:noWrap w:val="0"/>
            <w:vAlign w:val="top"/>
          </w:tcPr>
          <w:p w14:paraId="6451B333">
            <w:pPr>
              <w:pStyle w:val="8"/>
              <w:spacing w:before="100" w:line="228" w:lineRule="auto"/>
              <w:ind w:left="113" w:leftChars="0"/>
              <w:rPr>
                <w:rFonts w:ascii="宋体" w:hAnsi="宋体"/>
                <w:szCs w:val="21"/>
              </w:rPr>
            </w:pPr>
            <w:r>
              <w:rPr>
                <w:spacing w:val="8"/>
              </w:rPr>
              <w:t>满足资格审查条件业绩最低要求，得</w:t>
            </w:r>
            <w:r>
              <w:rPr>
                <w:rFonts w:hint="eastAsia"/>
                <w:spacing w:val="-36"/>
                <w:lang w:val="en-US" w:eastAsia="zh-CN"/>
              </w:rPr>
              <w:t xml:space="preserve">9  </w:t>
            </w:r>
            <w:r>
              <w:rPr>
                <w:spacing w:val="8"/>
              </w:rPr>
              <w:t>分</w:t>
            </w:r>
            <w:r>
              <w:rPr>
                <w:rFonts w:hint="eastAsia"/>
                <w:spacing w:val="8"/>
                <w:lang w:eastAsia="zh-CN"/>
              </w:rPr>
              <w:t>。</w:t>
            </w:r>
          </w:p>
        </w:tc>
      </w:tr>
      <w:tr w14:paraId="036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81" w:type="dxa"/>
            <w:vMerge w:val="continue"/>
            <w:noWrap w:val="0"/>
            <w:vAlign w:val="center"/>
          </w:tcPr>
          <w:p w14:paraId="50146265">
            <w:pPr>
              <w:spacing w:line="320" w:lineRule="exact"/>
              <w:jc w:val="center"/>
              <w:rPr>
                <w:rFonts w:ascii="宋体" w:hAnsi="宋体"/>
                <w:szCs w:val="21"/>
              </w:rPr>
            </w:pPr>
          </w:p>
        </w:tc>
        <w:tc>
          <w:tcPr>
            <w:tcW w:w="907" w:type="dxa"/>
            <w:vMerge w:val="continue"/>
            <w:noWrap w:val="0"/>
            <w:vAlign w:val="center"/>
          </w:tcPr>
          <w:p w14:paraId="599ACCDD">
            <w:pPr>
              <w:spacing w:line="320" w:lineRule="exact"/>
              <w:jc w:val="center"/>
              <w:rPr>
                <w:rFonts w:ascii="宋体" w:hAnsi="宋体"/>
                <w:szCs w:val="21"/>
              </w:rPr>
            </w:pPr>
          </w:p>
        </w:tc>
        <w:tc>
          <w:tcPr>
            <w:tcW w:w="832" w:type="dxa"/>
            <w:vMerge w:val="continue"/>
            <w:noWrap w:val="0"/>
            <w:vAlign w:val="top"/>
          </w:tcPr>
          <w:p w14:paraId="6A7B3EFD">
            <w:pPr>
              <w:rPr>
                <w:rFonts w:ascii="宋体" w:hAnsi="宋体"/>
                <w:szCs w:val="21"/>
              </w:rPr>
            </w:pPr>
          </w:p>
        </w:tc>
        <w:tc>
          <w:tcPr>
            <w:tcW w:w="1421" w:type="dxa"/>
            <w:vMerge w:val="continue"/>
            <w:noWrap w:val="0"/>
            <w:vAlign w:val="top"/>
          </w:tcPr>
          <w:p w14:paraId="0D2F6E0A">
            <w:pPr>
              <w:rPr>
                <w:rFonts w:ascii="宋体" w:hAnsi="宋体"/>
                <w:szCs w:val="21"/>
              </w:rPr>
            </w:pPr>
          </w:p>
        </w:tc>
        <w:tc>
          <w:tcPr>
            <w:tcW w:w="638" w:type="dxa"/>
            <w:vMerge w:val="continue"/>
            <w:noWrap w:val="0"/>
            <w:vAlign w:val="top"/>
          </w:tcPr>
          <w:p w14:paraId="06B7DE35">
            <w:pPr>
              <w:rPr>
                <w:rFonts w:ascii="宋体" w:hAnsi="宋体"/>
              </w:rPr>
            </w:pPr>
          </w:p>
        </w:tc>
        <w:tc>
          <w:tcPr>
            <w:tcW w:w="4570" w:type="dxa"/>
            <w:noWrap w:val="0"/>
            <w:vAlign w:val="top"/>
          </w:tcPr>
          <w:p w14:paraId="4B5AD2E6">
            <w:pPr>
              <w:pStyle w:val="8"/>
              <w:spacing w:before="55" w:line="273" w:lineRule="auto"/>
              <w:ind w:left="115" w:right="54" w:hanging="2"/>
              <w:rPr>
                <w:rFonts w:hint="default" w:eastAsia="宋体"/>
                <w:spacing w:val="4"/>
                <w:lang w:val="en-US" w:eastAsia="zh-CN"/>
              </w:rPr>
            </w:pPr>
            <w:r>
              <w:rPr>
                <w:rFonts w:hint="eastAsia"/>
                <w:spacing w:val="4"/>
                <w:lang w:val="en-US" w:eastAsia="zh-CN"/>
              </w:rPr>
              <w:t>DL1标段：</w:t>
            </w:r>
          </w:p>
          <w:p w14:paraId="1AF38212">
            <w:pPr>
              <w:pStyle w:val="8"/>
              <w:spacing w:before="55" w:line="273" w:lineRule="auto"/>
              <w:ind w:left="115" w:right="54" w:hanging="2"/>
            </w:pPr>
            <w:r>
              <w:rPr>
                <w:spacing w:val="4"/>
              </w:rPr>
              <w:t>每增加</w:t>
            </w:r>
            <w:r>
              <w:rPr>
                <w:spacing w:val="-29"/>
              </w:rPr>
              <w:t xml:space="preserve"> </w:t>
            </w:r>
            <w:r>
              <w:rPr>
                <w:spacing w:val="4"/>
              </w:rPr>
              <w:t>1</w:t>
            </w:r>
            <w:r>
              <w:rPr>
                <w:spacing w:val="-42"/>
              </w:rPr>
              <w:t xml:space="preserve"> </w:t>
            </w:r>
            <w:r>
              <w:rPr>
                <w:spacing w:val="4"/>
              </w:rPr>
              <w:t>项满足资格审查条件的设计业绩加</w:t>
            </w:r>
            <w:r>
              <w:rPr>
                <w:rFonts w:hint="eastAsia"/>
                <w:spacing w:val="-44"/>
                <w:lang w:val="en-US" w:eastAsia="zh-CN"/>
              </w:rPr>
              <w:t>1</w:t>
            </w:r>
            <w:r>
              <w:rPr>
                <w:spacing w:val="-40"/>
              </w:rPr>
              <w:t xml:space="preserve"> </w:t>
            </w:r>
            <w:r>
              <w:rPr>
                <w:spacing w:val="4"/>
              </w:rPr>
              <w:t>分，</w:t>
            </w:r>
            <w:r>
              <w:t xml:space="preserve"> </w:t>
            </w:r>
            <w:r>
              <w:rPr>
                <w:spacing w:val="1"/>
              </w:rPr>
              <w:t>最多加</w:t>
            </w:r>
            <w:r>
              <w:rPr>
                <w:spacing w:val="-34"/>
              </w:rPr>
              <w:t xml:space="preserve"> </w:t>
            </w:r>
            <w:r>
              <w:rPr>
                <w:spacing w:val="1"/>
              </w:rPr>
              <w:t>2</w:t>
            </w:r>
            <w:r>
              <w:rPr>
                <w:spacing w:val="-35"/>
              </w:rPr>
              <w:t xml:space="preserve"> </w:t>
            </w:r>
            <w:r>
              <w:rPr>
                <w:spacing w:val="1"/>
              </w:rPr>
              <w:t>分；</w:t>
            </w:r>
          </w:p>
          <w:p w14:paraId="6A452827">
            <w:pPr>
              <w:pStyle w:val="8"/>
              <w:spacing w:before="55" w:line="273" w:lineRule="auto"/>
              <w:ind w:left="115" w:right="54" w:hanging="2"/>
            </w:pPr>
            <w:r>
              <w:rPr>
                <w:spacing w:val="4"/>
              </w:rPr>
              <w:t>每增加</w:t>
            </w:r>
            <w:r>
              <w:rPr>
                <w:spacing w:val="-29"/>
              </w:rPr>
              <w:t xml:space="preserve"> </w:t>
            </w:r>
            <w:r>
              <w:rPr>
                <w:spacing w:val="4"/>
              </w:rPr>
              <w:t>1</w:t>
            </w:r>
            <w:r>
              <w:rPr>
                <w:spacing w:val="-42"/>
              </w:rPr>
              <w:t xml:space="preserve"> </w:t>
            </w:r>
            <w:r>
              <w:rPr>
                <w:spacing w:val="4"/>
              </w:rPr>
              <w:t>项满足资格审查条件的</w:t>
            </w:r>
            <w:r>
              <w:rPr>
                <w:rFonts w:hint="eastAsia"/>
                <w:spacing w:val="4"/>
                <w:lang w:val="en-US" w:eastAsia="zh-CN"/>
              </w:rPr>
              <w:t>施工</w:t>
            </w:r>
            <w:r>
              <w:rPr>
                <w:spacing w:val="4"/>
              </w:rPr>
              <w:t>业绩加</w:t>
            </w:r>
            <w:r>
              <w:rPr>
                <w:spacing w:val="-44"/>
              </w:rPr>
              <w:t xml:space="preserve"> </w:t>
            </w:r>
            <w:r>
              <w:rPr>
                <w:spacing w:val="4"/>
              </w:rPr>
              <w:t>2</w:t>
            </w:r>
            <w:r>
              <w:rPr>
                <w:spacing w:val="-40"/>
              </w:rPr>
              <w:t xml:space="preserve"> </w:t>
            </w:r>
            <w:r>
              <w:rPr>
                <w:spacing w:val="4"/>
              </w:rPr>
              <w:t>分，</w:t>
            </w:r>
            <w:r>
              <w:t xml:space="preserve"> </w:t>
            </w:r>
            <w:r>
              <w:rPr>
                <w:spacing w:val="1"/>
              </w:rPr>
              <w:t>最多加</w:t>
            </w:r>
            <w:r>
              <w:rPr>
                <w:spacing w:val="-34"/>
              </w:rPr>
              <w:t xml:space="preserve"> </w:t>
            </w:r>
            <w:r>
              <w:rPr>
                <w:rFonts w:hint="eastAsia"/>
                <w:spacing w:val="1"/>
                <w:lang w:val="en-US" w:eastAsia="zh-CN"/>
              </w:rPr>
              <w:t>4</w:t>
            </w:r>
            <w:r>
              <w:rPr>
                <w:spacing w:val="1"/>
              </w:rPr>
              <w:t>分；</w:t>
            </w:r>
          </w:p>
          <w:p w14:paraId="7D8F8E01">
            <w:pPr>
              <w:pStyle w:val="8"/>
              <w:spacing w:before="31" w:line="260" w:lineRule="auto"/>
              <w:ind w:left="136" w:right="109" w:hanging="23"/>
              <w:rPr>
                <w:rFonts w:hint="eastAsia"/>
                <w:lang w:val="en-US" w:eastAsia="zh-CN"/>
              </w:rPr>
            </w:pPr>
            <w:r>
              <w:rPr>
                <w:rFonts w:hint="eastAsia"/>
                <w:lang w:val="en-US" w:eastAsia="zh-CN"/>
              </w:rPr>
              <w:t>DL2标段：</w:t>
            </w:r>
          </w:p>
          <w:p w14:paraId="213872BB">
            <w:pPr>
              <w:pStyle w:val="8"/>
              <w:spacing w:before="55" w:line="273" w:lineRule="auto"/>
              <w:ind w:left="115" w:right="54" w:hanging="2"/>
            </w:pPr>
            <w:r>
              <w:rPr>
                <w:spacing w:val="4"/>
              </w:rPr>
              <w:t>每增加</w:t>
            </w:r>
            <w:r>
              <w:rPr>
                <w:spacing w:val="-29"/>
              </w:rPr>
              <w:t xml:space="preserve"> </w:t>
            </w:r>
            <w:r>
              <w:rPr>
                <w:spacing w:val="4"/>
              </w:rPr>
              <w:t>1</w:t>
            </w:r>
            <w:r>
              <w:rPr>
                <w:spacing w:val="-42"/>
              </w:rPr>
              <w:t xml:space="preserve"> </w:t>
            </w:r>
            <w:r>
              <w:rPr>
                <w:spacing w:val="4"/>
              </w:rPr>
              <w:t>项满足资格审查条件的设计业绩加</w:t>
            </w:r>
            <w:r>
              <w:rPr>
                <w:rFonts w:hint="eastAsia"/>
                <w:spacing w:val="-44"/>
                <w:lang w:val="en-US" w:eastAsia="zh-CN"/>
              </w:rPr>
              <w:t>1</w:t>
            </w:r>
            <w:r>
              <w:rPr>
                <w:spacing w:val="-40"/>
              </w:rPr>
              <w:t xml:space="preserve"> </w:t>
            </w:r>
            <w:r>
              <w:rPr>
                <w:spacing w:val="4"/>
              </w:rPr>
              <w:t>分，</w:t>
            </w:r>
            <w:r>
              <w:t xml:space="preserve"> </w:t>
            </w:r>
            <w:r>
              <w:rPr>
                <w:spacing w:val="1"/>
              </w:rPr>
              <w:t>最多加</w:t>
            </w:r>
            <w:r>
              <w:rPr>
                <w:spacing w:val="-34"/>
              </w:rPr>
              <w:t xml:space="preserve"> </w:t>
            </w:r>
            <w:r>
              <w:rPr>
                <w:spacing w:val="1"/>
              </w:rPr>
              <w:t>2</w:t>
            </w:r>
            <w:r>
              <w:rPr>
                <w:spacing w:val="-35"/>
              </w:rPr>
              <w:t xml:space="preserve"> </w:t>
            </w:r>
            <w:r>
              <w:rPr>
                <w:spacing w:val="1"/>
              </w:rPr>
              <w:t>分；</w:t>
            </w:r>
          </w:p>
          <w:p w14:paraId="6F5706A9">
            <w:pPr>
              <w:pStyle w:val="8"/>
              <w:spacing w:before="55" w:line="273" w:lineRule="auto"/>
              <w:ind w:left="115" w:right="54" w:hanging="2"/>
              <w:rPr>
                <w:rFonts w:hint="eastAsia"/>
                <w:spacing w:val="8"/>
                <w:lang w:val="en-US" w:eastAsia="zh-CN"/>
              </w:rPr>
            </w:pPr>
            <w:r>
              <w:rPr>
                <w:rFonts w:hint="eastAsia"/>
                <w:spacing w:val="8"/>
                <w:lang w:val="en-US" w:eastAsia="zh-CN"/>
              </w:rPr>
              <w:t>每增加一项±800KV及以上直流电压等级的电力线路工程施工业绩加2分，最多加2分。</w:t>
            </w:r>
          </w:p>
          <w:p w14:paraId="147C016E">
            <w:pPr>
              <w:pStyle w:val="8"/>
              <w:spacing w:before="55" w:line="273" w:lineRule="auto"/>
              <w:ind w:left="115" w:leftChars="0" w:right="54" w:rightChars="0" w:hanging="2" w:firstLineChars="0"/>
              <w:rPr>
                <w:rFonts w:hint="eastAsia" w:ascii="宋体" w:hAnsi="宋体"/>
              </w:rPr>
            </w:pPr>
            <w:r>
              <w:rPr>
                <w:rFonts w:hint="eastAsia"/>
                <w:spacing w:val="8"/>
                <w:lang w:val="en-US" w:eastAsia="zh-CN"/>
              </w:rPr>
              <w:t>每增加一项1000KV及以上交流电压等级的电力线路工程施工业绩加2分，最多加2分。</w:t>
            </w:r>
          </w:p>
        </w:tc>
      </w:tr>
      <w:tr w14:paraId="61BE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81" w:type="dxa"/>
            <w:vMerge w:val="restart"/>
            <w:noWrap w:val="0"/>
            <w:vAlign w:val="center"/>
          </w:tcPr>
          <w:p w14:paraId="0E6468CD">
            <w:pPr>
              <w:spacing w:line="320" w:lineRule="exact"/>
              <w:jc w:val="center"/>
              <w:rPr>
                <w:rFonts w:ascii="宋体" w:hAnsi="宋体"/>
                <w:szCs w:val="21"/>
              </w:rPr>
            </w:pPr>
            <w:r>
              <w:rPr>
                <w:rFonts w:hint="eastAsia" w:ascii="宋体" w:hAnsi="宋体"/>
                <w:szCs w:val="21"/>
              </w:rPr>
              <w:t>2</w:t>
            </w:r>
            <w:r>
              <w:rPr>
                <w:rFonts w:ascii="宋体" w:hAnsi="宋体"/>
                <w:szCs w:val="21"/>
              </w:rPr>
              <w:t>.2.4</w:t>
            </w:r>
            <w:r>
              <w:rPr>
                <w:rFonts w:hint="eastAsia" w:ascii="宋体" w:hAnsi="宋体"/>
                <w:szCs w:val="21"/>
              </w:rPr>
              <w:t>（</w:t>
            </w:r>
            <w:r>
              <w:rPr>
                <w:rFonts w:ascii="宋体" w:hAnsi="宋体"/>
                <w:szCs w:val="21"/>
              </w:rPr>
              <w:t>3</w:t>
            </w:r>
            <w:r>
              <w:rPr>
                <w:rFonts w:hint="eastAsia" w:ascii="宋体" w:hAnsi="宋体"/>
                <w:szCs w:val="21"/>
              </w:rPr>
              <w:t>）</w:t>
            </w:r>
          </w:p>
        </w:tc>
        <w:tc>
          <w:tcPr>
            <w:tcW w:w="907" w:type="dxa"/>
            <w:vMerge w:val="restart"/>
            <w:noWrap w:val="0"/>
            <w:vAlign w:val="center"/>
          </w:tcPr>
          <w:p w14:paraId="3249790D">
            <w:pPr>
              <w:spacing w:line="320" w:lineRule="exact"/>
              <w:ind w:left="-78" w:leftChars="-37" w:right="-120" w:rightChars="-57"/>
              <w:jc w:val="center"/>
              <w:rPr>
                <w:rFonts w:hint="eastAsia" w:ascii="宋体" w:hAnsi="宋体"/>
                <w:szCs w:val="21"/>
              </w:rPr>
            </w:pPr>
            <w:r>
              <w:rPr>
                <w:rFonts w:hint="eastAsia" w:ascii="宋体" w:hAnsi="宋体"/>
                <w:szCs w:val="21"/>
              </w:rPr>
              <w:t>承包人实施方案</w:t>
            </w:r>
          </w:p>
          <w:p w14:paraId="1C5180D8">
            <w:pPr>
              <w:spacing w:line="320" w:lineRule="exact"/>
              <w:ind w:left="-78" w:leftChars="-37" w:right="-120" w:rightChars="-57"/>
              <w:jc w:val="center"/>
              <w:rPr>
                <w:rFonts w:ascii="宋体" w:hAnsi="宋体"/>
                <w:szCs w:val="21"/>
              </w:rPr>
            </w:pPr>
            <w:r>
              <w:rPr>
                <w:rFonts w:hint="eastAsia" w:ascii="宋体" w:hAnsi="宋体"/>
                <w:szCs w:val="21"/>
              </w:rPr>
              <w:t>（暗标）</w:t>
            </w:r>
          </w:p>
        </w:tc>
        <w:tc>
          <w:tcPr>
            <w:tcW w:w="832" w:type="dxa"/>
            <w:vMerge w:val="restart"/>
            <w:noWrap w:val="0"/>
            <w:vAlign w:val="center"/>
          </w:tcPr>
          <w:p w14:paraId="17814BAC">
            <w:pPr>
              <w:spacing w:line="320" w:lineRule="exact"/>
              <w:jc w:val="center"/>
              <w:rPr>
                <w:rFonts w:hint="default" w:ascii="宋体" w:hAnsi="宋体" w:eastAsia="宋体"/>
                <w:szCs w:val="21"/>
                <w:lang w:val="en-US" w:eastAsia="zh-CN"/>
              </w:rPr>
            </w:pPr>
            <w:r>
              <w:rPr>
                <w:rFonts w:hint="eastAsia" w:ascii="宋体" w:hAnsi="宋体"/>
                <w:szCs w:val="21"/>
                <w:lang w:val="en-US" w:eastAsia="zh-CN"/>
              </w:rPr>
              <w:t>20分</w:t>
            </w:r>
          </w:p>
        </w:tc>
        <w:tc>
          <w:tcPr>
            <w:tcW w:w="1421" w:type="dxa"/>
            <w:noWrap w:val="0"/>
            <w:vAlign w:val="top"/>
          </w:tcPr>
          <w:p w14:paraId="08EFFBBC">
            <w:pPr>
              <w:jc w:val="left"/>
              <w:rPr>
                <w:rFonts w:hint="eastAsia" w:ascii="宋体" w:hAnsi="宋体" w:eastAsia="宋体" w:cs="Times New Roman"/>
                <w:szCs w:val="21"/>
              </w:rPr>
            </w:pPr>
          </w:p>
          <w:p w14:paraId="5C0776F8">
            <w:pPr>
              <w:jc w:val="left"/>
              <w:rPr>
                <w:rFonts w:hint="eastAsia" w:ascii="宋体" w:hAnsi="宋体" w:eastAsia="宋体" w:cs="Times New Roman"/>
                <w:szCs w:val="21"/>
              </w:rPr>
            </w:pPr>
          </w:p>
          <w:p w14:paraId="0FEC0554">
            <w:pPr>
              <w:jc w:val="left"/>
              <w:rPr>
                <w:rFonts w:hint="eastAsia" w:ascii="宋体" w:hAnsi="宋体" w:eastAsia="宋体" w:cs="Times New Roman"/>
                <w:szCs w:val="21"/>
              </w:rPr>
            </w:pPr>
          </w:p>
          <w:p w14:paraId="3D3DFF2A">
            <w:pPr>
              <w:jc w:val="left"/>
              <w:rPr>
                <w:rFonts w:hint="eastAsia" w:ascii="宋体" w:hAnsi="宋体" w:eastAsia="宋体" w:cs="Times New Roman"/>
                <w:szCs w:val="21"/>
              </w:rPr>
            </w:pPr>
            <w:r>
              <w:rPr>
                <w:rFonts w:hint="eastAsia" w:ascii="宋体" w:hAnsi="宋体" w:eastAsia="宋体" w:cs="Times New Roman"/>
                <w:szCs w:val="21"/>
              </w:rPr>
              <w:t>总承包管理方案</w:t>
            </w:r>
          </w:p>
        </w:tc>
        <w:tc>
          <w:tcPr>
            <w:tcW w:w="638" w:type="dxa"/>
            <w:noWrap w:val="0"/>
            <w:vAlign w:val="top"/>
          </w:tcPr>
          <w:p w14:paraId="39BD1EA7">
            <w:pPr>
              <w:jc w:val="left"/>
              <w:rPr>
                <w:rFonts w:hint="eastAsia" w:ascii="宋体" w:hAnsi="宋体" w:eastAsia="宋体" w:cs="Times New Roman"/>
                <w:szCs w:val="21"/>
              </w:rPr>
            </w:pPr>
          </w:p>
          <w:p w14:paraId="33A6D49B">
            <w:pPr>
              <w:jc w:val="left"/>
              <w:rPr>
                <w:rFonts w:hint="eastAsia" w:ascii="宋体" w:hAnsi="宋体" w:eastAsia="宋体" w:cs="Times New Roman"/>
                <w:szCs w:val="21"/>
              </w:rPr>
            </w:pPr>
          </w:p>
          <w:p w14:paraId="2FC6B91C">
            <w:pPr>
              <w:jc w:val="left"/>
              <w:rPr>
                <w:rFonts w:hint="eastAsia" w:ascii="宋体" w:hAnsi="宋体" w:eastAsia="宋体" w:cs="Times New Roman"/>
                <w:szCs w:val="21"/>
              </w:rPr>
            </w:pPr>
          </w:p>
          <w:p w14:paraId="35B22FAF">
            <w:pPr>
              <w:jc w:val="left"/>
              <w:rPr>
                <w:rFonts w:hint="eastAsia" w:ascii="宋体" w:hAnsi="宋体" w:eastAsia="宋体" w:cs="Times New Roman"/>
                <w:szCs w:val="21"/>
              </w:rPr>
            </w:pPr>
            <w:r>
              <w:rPr>
                <w:rFonts w:hint="eastAsia" w:ascii="宋体" w:hAnsi="宋体" w:eastAsia="宋体" w:cs="Times New Roman"/>
                <w:szCs w:val="21"/>
              </w:rPr>
              <w:t>5 分</w:t>
            </w:r>
          </w:p>
        </w:tc>
        <w:tc>
          <w:tcPr>
            <w:tcW w:w="4570" w:type="dxa"/>
            <w:noWrap w:val="0"/>
            <w:vAlign w:val="top"/>
          </w:tcPr>
          <w:p w14:paraId="14A3307E">
            <w:pPr>
              <w:jc w:val="left"/>
              <w:rPr>
                <w:rFonts w:hint="eastAsia" w:ascii="宋体" w:hAnsi="宋体" w:eastAsia="宋体" w:cs="Times New Roman"/>
                <w:szCs w:val="21"/>
              </w:rPr>
            </w:pPr>
            <w:r>
              <w:rPr>
                <w:rFonts w:hint="eastAsia" w:ascii="宋体" w:hAnsi="宋体" w:eastAsia="宋体" w:cs="Times New Roman"/>
                <w:szCs w:val="21"/>
              </w:rPr>
              <w:t>内容完整，编制科学合理，指导性强，得 4.0-5.0 分；</w:t>
            </w:r>
          </w:p>
          <w:p w14:paraId="6DD2A045">
            <w:pPr>
              <w:jc w:val="left"/>
              <w:rPr>
                <w:rFonts w:hint="eastAsia" w:ascii="宋体" w:hAnsi="宋体" w:eastAsia="宋体" w:cs="Times New Roman"/>
                <w:szCs w:val="21"/>
              </w:rPr>
            </w:pPr>
            <w:r>
              <w:rPr>
                <w:rFonts w:hint="eastAsia" w:ascii="宋体" w:hAnsi="宋体" w:eastAsia="宋体" w:cs="Times New Roman"/>
                <w:szCs w:val="21"/>
              </w:rPr>
              <w:t>内容较完整，编制较合理，指导性较强，得 3.0-4.0 分；</w:t>
            </w:r>
          </w:p>
          <w:p w14:paraId="23C1D4F8">
            <w:pPr>
              <w:jc w:val="left"/>
              <w:rPr>
                <w:rFonts w:hint="eastAsia" w:ascii="宋体" w:hAnsi="宋体" w:eastAsia="宋体" w:cs="Times New Roman"/>
                <w:szCs w:val="21"/>
              </w:rPr>
            </w:pPr>
            <w:r>
              <w:rPr>
                <w:rFonts w:hint="eastAsia" w:ascii="宋体" w:hAnsi="宋体" w:eastAsia="宋体" w:cs="Times New Roman"/>
                <w:szCs w:val="21"/>
              </w:rPr>
              <w:t>内容基本完整，编制基本合理，指导性一般，得 3.0 分。</w:t>
            </w:r>
          </w:p>
        </w:tc>
      </w:tr>
      <w:tr w14:paraId="0AF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81" w:type="dxa"/>
            <w:vMerge w:val="continue"/>
            <w:noWrap w:val="0"/>
            <w:vAlign w:val="center"/>
          </w:tcPr>
          <w:p w14:paraId="0E7EFEA1">
            <w:pPr>
              <w:spacing w:line="320" w:lineRule="exact"/>
              <w:jc w:val="center"/>
              <w:rPr>
                <w:rFonts w:ascii="宋体" w:hAnsi="宋体"/>
                <w:szCs w:val="21"/>
              </w:rPr>
            </w:pPr>
          </w:p>
        </w:tc>
        <w:tc>
          <w:tcPr>
            <w:tcW w:w="907" w:type="dxa"/>
            <w:vMerge w:val="continue"/>
            <w:noWrap w:val="0"/>
            <w:vAlign w:val="center"/>
          </w:tcPr>
          <w:p w14:paraId="1CFDBD71">
            <w:pPr>
              <w:spacing w:line="320" w:lineRule="exact"/>
              <w:jc w:val="center"/>
              <w:rPr>
                <w:rFonts w:ascii="宋体" w:hAnsi="宋体"/>
                <w:szCs w:val="21"/>
              </w:rPr>
            </w:pPr>
          </w:p>
        </w:tc>
        <w:tc>
          <w:tcPr>
            <w:tcW w:w="832" w:type="dxa"/>
            <w:vMerge w:val="continue"/>
            <w:noWrap w:val="0"/>
            <w:vAlign w:val="center"/>
          </w:tcPr>
          <w:p w14:paraId="6F3A54B5">
            <w:pPr>
              <w:spacing w:line="320" w:lineRule="exact"/>
              <w:jc w:val="center"/>
              <w:rPr>
                <w:rFonts w:ascii="宋体" w:hAnsi="宋体"/>
                <w:szCs w:val="21"/>
              </w:rPr>
            </w:pPr>
          </w:p>
        </w:tc>
        <w:tc>
          <w:tcPr>
            <w:tcW w:w="1421" w:type="dxa"/>
            <w:noWrap w:val="0"/>
            <w:vAlign w:val="top"/>
          </w:tcPr>
          <w:p w14:paraId="4354447B">
            <w:pPr>
              <w:jc w:val="left"/>
              <w:rPr>
                <w:rFonts w:hint="eastAsia" w:ascii="宋体" w:hAnsi="宋体" w:eastAsia="宋体" w:cs="Times New Roman"/>
                <w:szCs w:val="21"/>
              </w:rPr>
            </w:pPr>
          </w:p>
          <w:p w14:paraId="093AC9ED">
            <w:pPr>
              <w:jc w:val="left"/>
              <w:rPr>
                <w:rFonts w:hint="eastAsia" w:ascii="宋体" w:hAnsi="宋体" w:eastAsia="宋体" w:cs="Times New Roman"/>
                <w:szCs w:val="21"/>
              </w:rPr>
            </w:pPr>
          </w:p>
          <w:p w14:paraId="3778B9A9">
            <w:pPr>
              <w:jc w:val="left"/>
              <w:rPr>
                <w:rFonts w:hint="eastAsia" w:ascii="宋体" w:hAnsi="宋体" w:eastAsia="宋体" w:cs="Times New Roman"/>
                <w:szCs w:val="21"/>
              </w:rPr>
            </w:pPr>
          </w:p>
          <w:p w14:paraId="29612C60">
            <w:pPr>
              <w:jc w:val="left"/>
              <w:rPr>
                <w:rFonts w:hint="eastAsia" w:ascii="宋体" w:hAnsi="宋体" w:eastAsia="宋体" w:cs="Times New Roman"/>
                <w:szCs w:val="21"/>
              </w:rPr>
            </w:pPr>
            <w:r>
              <w:rPr>
                <w:rFonts w:hint="eastAsia" w:ascii="宋体" w:hAnsi="宋体" w:eastAsia="宋体" w:cs="Times New Roman"/>
                <w:szCs w:val="21"/>
              </w:rPr>
              <w:t>施工实施要点</w:t>
            </w:r>
          </w:p>
        </w:tc>
        <w:tc>
          <w:tcPr>
            <w:tcW w:w="638" w:type="dxa"/>
            <w:noWrap w:val="0"/>
            <w:vAlign w:val="top"/>
          </w:tcPr>
          <w:p w14:paraId="4708AC62">
            <w:pPr>
              <w:jc w:val="left"/>
              <w:rPr>
                <w:rFonts w:hint="eastAsia" w:ascii="宋体" w:hAnsi="宋体" w:eastAsia="宋体" w:cs="Times New Roman"/>
                <w:szCs w:val="21"/>
              </w:rPr>
            </w:pPr>
          </w:p>
          <w:p w14:paraId="63398721">
            <w:pPr>
              <w:jc w:val="left"/>
              <w:rPr>
                <w:rFonts w:hint="eastAsia" w:ascii="宋体" w:hAnsi="宋体" w:eastAsia="宋体" w:cs="Times New Roman"/>
                <w:szCs w:val="21"/>
              </w:rPr>
            </w:pPr>
          </w:p>
          <w:p w14:paraId="430997B0">
            <w:pPr>
              <w:jc w:val="left"/>
              <w:rPr>
                <w:rFonts w:hint="eastAsia" w:ascii="宋体" w:hAnsi="宋体" w:eastAsia="宋体" w:cs="Times New Roman"/>
                <w:szCs w:val="21"/>
              </w:rPr>
            </w:pPr>
          </w:p>
          <w:p w14:paraId="04C4955B">
            <w:pPr>
              <w:jc w:val="left"/>
              <w:rPr>
                <w:rFonts w:hint="eastAsia" w:ascii="宋体" w:hAnsi="宋体" w:eastAsia="宋体" w:cs="Times New Roman"/>
                <w:szCs w:val="21"/>
              </w:rPr>
            </w:pPr>
            <w:r>
              <w:rPr>
                <w:rFonts w:hint="eastAsia" w:ascii="宋体" w:hAnsi="宋体" w:eastAsia="宋体" w:cs="Times New Roman"/>
                <w:szCs w:val="21"/>
              </w:rPr>
              <w:t>5 分</w:t>
            </w:r>
          </w:p>
        </w:tc>
        <w:tc>
          <w:tcPr>
            <w:tcW w:w="4570" w:type="dxa"/>
            <w:noWrap w:val="0"/>
            <w:vAlign w:val="top"/>
          </w:tcPr>
          <w:p w14:paraId="492C1761">
            <w:pPr>
              <w:jc w:val="left"/>
              <w:rPr>
                <w:rFonts w:hint="eastAsia" w:ascii="宋体" w:hAnsi="宋体" w:eastAsia="宋体" w:cs="Times New Roman"/>
                <w:szCs w:val="21"/>
              </w:rPr>
            </w:pPr>
            <w:r>
              <w:rPr>
                <w:rFonts w:hint="eastAsia" w:ascii="宋体" w:hAnsi="宋体" w:eastAsia="宋体" w:cs="Times New Roman"/>
                <w:szCs w:val="21"/>
              </w:rPr>
              <w:t>内容完整，编制科学合理，指导性强，得 4.0-5.0 分；</w:t>
            </w:r>
          </w:p>
          <w:p w14:paraId="72685B33">
            <w:pPr>
              <w:jc w:val="left"/>
              <w:rPr>
                <w:rFonts w:hint="eastAsia" w:ascii="宋体" w:hAnsi="宋体" w:eastAsia="宋体" w:cs="Times New Roman"/>
                <w:szCs w:val="21"/>
              </w:rPr>
            </w:pPr>
            <w:r>
              <w:rPr>
                <w:rFonts w:hint="eastAsia" w:ascii="宋体" w:hAnsi="宋体" w:eastAsia="宋体" w:cs="Times New Roman"/>
                <w:szCs w:val="21"/>
              </w:rPr>
              <w:t>内容较完整，编制较合理，指导性较强，得 3.0-4.0 分；</w:t>
            </w:r>
          </w:p>
          <w:p w14:paraId="5B93E8FD">
            <w:pPr>
              <w:jc w:val="left"/>
              <w:rPr>
                <w:rFonts w:hint="eastAsia" w:ascii="宋体" w:hAnsi="宋体" w:eastAsia="宋体" w:cs="Times New Roman"/>
                <w:szCs w:val="21"/>
              </w:rPr>
            </w:pPr>
            <w:r>
              <w:rPr>
                <w:rFonts w:hint="eastAsia" w:ascii="宋体" w:hAnsi="宋体" w:eastAsia="宋体" w:cs="Times New Roman"/>
                <w:szCs w:val="21"/>
              </w:rPr>
              <w:t>内容基本完整，编制基本合理，指导性一般，得 3.0 分。</w:t>
            </w:r>
          </w:p>
        </w:tc>
      </w:tr>
      <w:tr w14:paraId="4DDE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881" w:type="dxa"/>
            <w:vMerge w:val="continue"/>
            <w:noWrap w:val="0"/>
            <w:vAlign w:val="center"/>
          </w:tcPr>
          <w:p w14:paraId="37FDE6B5">
            <w:pPr>
              <w:spacing w:line="320" w:lineRule="exact"/>
              <w:jc w:val="center"/>
              <w:rPr>
                <w:rFonts w:ascii="宋体" w:hAnsi="宋体"/>
                <w:szCs w:val="21"/>
              </w:rPr>
            </w:pPr>
          </w:p>
        </w:tc>
        <w:tc>
          <w:tcPr>
            <w:tcW w:w="907" w:type="dxa"/>
            <w:vMerge w:val="continue"/>
            <w:noWrap w:val="0"/>
            <w:vAlign w:val="center"/>
          </w:tcPr>
          <w:p w14:paraId="243D1E18">
            <w:pPr>
              <w:spacing w:line="320" w:lineRule="exact"/>
              <w:jc w:val="center"/>
              <w:rPr>
                <w:rFonts w:ascii="宋体" w:hAnsi="宋体"/>
                <w:szCs w:val="21"/>
              </w:rPr>
            </w:pPr>
          </w:p>
        </w:tc>
        <w:tc>
          <w:tcPr>
            <w:tcW w:w="832" w:type="dxa"/>
            <w:vMerge w:val="continue"/>
            <w:noWrap w:val="0"/>
            <w:vAlign w:val="center"/>
          </w:tcPr>
          <w:p w14:paraId="0F4B3A5E">
            <w:pPr>
              <w:spacing w:line="320" w:lineRule="exact"/>
              <w:jc w:val="center"/>
              <w:rPr>
                <w:rFonts w:ascii="宋体" w:hAnsi="宋体"/>
                <w:szCs w:val="21"/>
              </w:rPr>
            </w:pPr>
          </w:p>
        </w:tc>
        <w:tc>
          <w:tcPr>
            <w:tcW w:w="1421" w:type="dxa"/>
            <w:noWrap w:val="0"/>
            <w:vAlign w:val="top"/>
          </w:tcPr>
          <w:p w14:paraId="2C73B5D7">
            <w:pPr>
              <w:jc w:val="left"/>
              <w:rPr>
                <w:rFonts w:hint="eastAsia" w:ascii="宋体" w:hAnsi="宋体" w:eastAsia="宋体" w:cs="Times New Roman"/>
                <w:szCs w:val="21"/>
              </w:rPr>
            </w:pPr>
          </w:p>
          <w:p w14:paraId="701B10E3">
            <w:pPr>
              <w:jc w:val="left"/>
              <w:rPr>
                <w:rFonts w:hint="eastAsia" w:ascii="宋体" w:hAnsi="宋体" w:eastAsia="宋体" w:cs="Times New Roman"/>
                <w:szCs w:val="21"/>
              </w:rPr>
            </w:pPr>
            <w:r>
              <w:rPr>
                <w:rFonts w:hint="eastAsia" w:ascii="宋体" w:hAnsi="宋体" w:eastAsia="宋体" w:cs="Times New Roman"/>
                <w:szCs w:val="21"/>
              </w:rPr>
              <w:t>工期保证体系及保证措施</w:t>
            </w:r>
          </w:p>
        </w:tc>
        <w:tc>
          <w:tcPr>
            <w:tcW w:w="638" w:type="dxa"/>
            <w:noWrap w:val="0"/>
            <w:vAlign w:val="top"/>
          </w:tcPr>
          <w:p w14:paraId="3AEA7529">
            <w:pPr>
              <w:jc w:val="left"/>
              <w:rPr>
                <w:rFonts w:hint="eastAsia" w:ascii="宋体" w:hAnsi="宋体" w:eastAsia="宋体" w:cs="Times New Roman"/>
                <w:szCs w:val="21"/>
              </w:rPr>
            </w:pPr>
          </w:p>
          <w:p w14:paraId="31EDEA85">
            <w:pPr>
              <w:jc w:val="left"/>
              <w:rPr>
                <w:rFonts w:hint="eastAsia" w:ascii="宋体" w:hAnsi="宋体" w:eastAsia="宋体" w:cs="Times New Roman"/>
                <w:szCs w:val="21"/>
              </w:rPr>
            </w:pPr>
          </w:p>
          <w:p w14:paraId="7DB0EE76">
            <w:pPr>
              <w:jc w:val="left"/>
              <w:rPr>
                <w:rFonts w:hint="eastAsia" w:ascii="宋体" w:hAnsi="宋体" w:eastAsia="宋体" w:cs="Times New Roman"/>
                <w:szCs w:val="21"/>
              </w:rPr>
            </w:pPr>
            <w:r>
              <w:rPr>
                <w:rFonts w:hint="eastAsia" w:ascii="宋体" w:hAnsi="宋体" w:eastAsia="宋体" w:cs="Times New Roman"/>
                <w:szCs w:val="21"/>
              </w:rPr>
              <w:t>2 分</w:t>
            </w:r>
          </w:p>
        </w:tc>
        <w:tc>
          <w:tcPr>
            <w:tcW w:w="4570" w:type="dxa"/>
            <w:noWrap w:val="0"/>
            <w:vAlign w:val="top"/>
          </w:tcPr>
          <w:p w14:paraId="11655212">
            <w:pPr>
              <w:jc w:val="left"/>
              <w:rPr>
                <w:rFonts w:hint="eastAsia" w:ascii="宋体" w:hAnsi="宋体" w:eastAsia="宋体" w:cs="Times New Roman"/>
                <w:szCs w:val="21"/>
              </w:rPr>
            </w:pPr>
            <w:r>
              <w:rPr>
                <w:rFonts w:hint="eastAsia" w:ascii="宋体" w:hAnsi="宋体" w:eastAsia="宋体" w:cs="Times New Roman"/>
                <w:szCs w:val="21"/>
              </w:rPr>
              <w:t>措施完善，科学合理，实施性强，得 1.6-2.0 分； 措施较完善，措施较合理，实施性较强，得 1.2-1.6 分。</w:t>
            </w:r>
          </w:p>
          <w:p w14:paraId="3A048A4C">
            <w:pPr>
              <w:jc w:val="left"/>
              <w:rPr>
                <w:rFonts w:hint="eastAsia" w:ascii="宋体" w:hAnsi="宋体" w:eastAsia="宋体" w:cs="Times New Roman"/>
                <w:szCs w:val="21"/>
              </w:rPr>
            </w:pPr>
            <w:r>
              <w:rPr>
                <w:rFonts w:hint="eastAsia" w:ascii="宋体" w:hAnsi="宋体" w:eastAsia="宋体" w:cs="Times New Roman"/>
                <w:szCs w:val="21"/>
              </w:rPr>
              <w:t>措施基本完善，措施基本合理，实施性一般，得1.2 分。</w:t>
            </w:r>
          </w:p>
        </w:tc>
      </w:tr>
      <w:tr w14:paraId="523E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881" w:type="dxa"/>
            <w:vMerge w:val="continue"/>
            <w:noWrap w:val="0"/>
            <w:vAlign w:val="center"/>
          </w:tcPr>
          <w:p w14:paraId="4C72338E">
            <w:pPr>
              <w:spacing w:line="320" w:lineRule="exact"/>
              <w:jc w:val="center"/>
              <w:rPr>
                <w:rFonts w:ascii="宋体" w:hAnsi="宋体"/>
                <w:szCs w:val="21"/>
              </w:rPr>
            </w:pPr>
          </w:p>
        </w:tc>
        <w:tc>
          <w:tcPr>
            <w:tcW w:w="907" w:type="dxa"/>
            <w:vMerge w:val="continue"/>
            <w:noWrap w:val="0"/>
            <w:vAlign w:val="center"/>
          </w:tcPr>
          <w:p w14:paraId="214EE707">
            <w:pPr>
              <w:spacing w:line="320" w:lineRule="exact"/>
              <w:jc w:val="center"/>
              <w:rPr>
                <w:rFonts w:ascii="宋体" w:hAnsi="宋体"/>
                <w:szCs w:val="21"/>
              </w:rPr>
            </w:pPr>
          </w:p>
        </w:tc>
        <w:tc>
          <w:tcPr>
            <w:tcW w:w="832" w:type="dxa"/>
            <w:vMerge w:val="continue"/>
            <w:noWrap w:val="0"/>
            <w:vAlign w:val="center"/>
          </w:tcPr>
          <w:p w14:paraId="71BE5E28">
            <w:pPr>
              <w:spacing w:line="320" w:lineRule="exact"/>
              <w:jc w:val="center"/>
              <w:rPr>
                <w:rFonts w:ascii="宋体" w:hAnsi="宋体"/>
                <w:szCs w:val="21"/>
              </w:rPr>
            </w:pPr>
          </w:p>
        </w:tc>
        <w:tc>
          <w:tcPr>
            <w:tcW w:w="1421" w:type="dxa"/>
            <w:noWrap w:val="0"/>
            <w:vAlign w:val="top"/>
          </w:tcPr>
          <w:p w14:paraId="6C59EA15">
            <w:pPr>
              <w:jc w:val="left"/>
              <w:rPr>
                <w:rFonts w:hint="eastAsia" w:ascii="宋体" w:hAnsi="宋体" w:eastAsia="宋体" w:cs="Times New Roman"/>
                <w:szCs w:val="21"/>
              </w:rPr>
            </w:pPr>
          </w:p>
          <w:p w14:paraId="7F8F5073">
            <w:pPr>
              <w:jc w:val="left"/>
              <w:rPr>
                <w:rFonts w:hint="eastAsia" w:ascii="宋体" w:hAnsi="宋体" w:eastAsia="宋体" w:cs="Times New Roman"/>
                <w:szCs w:val="21"/>
              </w:rPr>
            </w:pPr>
            <w:r>
              <w:rPr>
                <w:rFonts w:hint="eastAsia" w:ascii="宋体" w:hAnsi="宋体" w:eastAsia="宋体" w:cs="Times New Roman"/>
                <w:szCs w:val="21"/>
              </w:rPr>
              <w:t>工程质量管理体系及保证措施</w:t>
            </w:r>
          </w:p>
        </w:tc>
        <w:tc>
          <w:tcPr>
            <w:tcW w:w="638" w:type="dxa"/>
            <w:noWrap w:val="0"/>
            <w:vAlign w:val="top"/>
          </w:tcPr>
          <w:p w14:paraId="5C121AED">
            <w:pPr>
              <w:jc w:val="left"/>
              <w:rPr>
                <w:rFonts w:hint="eastAsia" w:ascii="宋体" w:hAnsi="宋体" w:eastAsia="宋体" w:cs="Times New Roman"/>
                <w:szCs w:val="21"/>
              </w:rPr>
            </w:pPr>
          </w:p>
          <w:p w14:paraId="5F76A84D">
            <w:pPr>
              <w:jc w:val="left"/>
              <w:rPr>
                <w:rFonts w:hint="eastAsia" w:ascii="宋体" w:hAnsi="宋体" w:eastAsia="宋体" w:cs="Times New Roman"/>
                <w:szCs w:val="21"/>
              </w:rPr>
            </w:pPr>
            <w:r>
              <w:rPr>
                <w:rFonts w:hint="eastAsia" w:ascii="宋体" w:hAnsi="宋体" w:eastAsia="宋体" w:cs="Times New Roman"/>
                <w:szCs w:val="21"/>
              </w:rPr>
              <w:t>2 分</w:t>
            </w:r>
          </w:p>
        </w:tc>
        <w:tc>
          <w:tcPr>
            <w:tcW w:w="4570" w:type="dxa"/>
            <w:noWrap w:val="0"/>
            <w:vAlign w:val="top"/>
          </w:tcPr>
          <w:p w14:paraId="3C1495B2">
            <w:pPr>
              <w:jc w:val="left"/>
              <w:rPr>
                <w:rFonts w:hint="eastAsia" w:ascii="宋体" w:hAnsi="宋体" w:eastAsia="宋体" w:cs="Times New Roman"/>
                <w:szCs w:val="21"/>
              </w:rPr>
            </w:pPr>
            <w:r>
              <w:rPr>
                <w:rFonts w:hint="eastAsia" w:ascii="宋体" w:hAnsi="宋体" w:eastAsia="宋体" w:cs="Times New Roman"/>
                <w:szCs w:val="21"/>
              </w:rPr>
              <w:t xml:space="preserve">措施完善，科学合理，实施性强，得 1.6-2.0 分； </w:t>
            </w:r>
          </w:p>
          <w:p w14:paraId="571B9925">
            <w:pPr>
              <w:jc w:val="left"/>
              <w:rPr>
                <w:rFonts w:hint="eastAsia" w:ascii="宋体" w:hAnsi="宋体" w:eastAsia="宋体" w:cs="Times New Roman"/>
                <w:szCs w:val="21"/>
              </w:rPr>
            </w:pPr>
            <w:r>
              <w:rPr>
                <w:rFonts w:hint="eastAsia" w:ascii="宋体" w:hAnsi="宋体" w:eastAsia="宋体" w:cs="Times New Roman"/>
                <w:szCs w:val="21"/>
              </w:rPr>
              <w:t>措施较完善，措施较合理，实施性较强，得 1.2-1.6 分。</w:t>
            </w:r>
          </w:p>
          <w:p w14:paraId="543985B8">
            <w:pPr>
              <w:jc w:val="left"/>
              <w:rPr>
                <w:rFonts w:hint="eastAsia" w:ascii="宋体" w:hAnsi="宋体" w:eastAsia="宋体" w:cs="Times New Roman"/>
                <w:szCs w:val="21"/>
              </w:rPr>
            </w:pPr>
            <w:r>
              <w:rPr>
                <w:rFonts w:hint="eastAsia" w:ascii="宋体" w:hAnsi="宋体" w:eastAsia="宋体" w:cs="Times New Roman"/>
                <w:szCs w:val="21"/>
              </w:rPr>
              <w:t>措施基本完善，措施基本合理，实施性一般，得1.2 分。</w:t>
            </w:r>
          </w:p>
        </w:tc>
      </w:tr>
      <w:tr w14:paraId="7690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81" w:type="dxa"/>
            <w:vMerge w:val="continue"/>
            <w:noWrap w:val="0"/>
            <w:vAlign w:val="center"/>
          </w:tcPr>
          <w:p w14:paraId="71E2D096">
            <w:pPr>
              <w:spacing w:line="320" w:lineRule="exact"/>
              <w:jc w:val="center"/>
              <w:rPr>
                <w:rFonts w:ascii="宋体" w:hAnsi="宋体"/>
                <w:szCs w:val="21"/>
              </w:rPr>
            </w:pPr>
          </w:p>
        </w:tc>
        <w:tc>
          <w:tcPr>
            <w:tcW w:w="907" w:type="dxa"/>
            <w:vMerge w:val="continue"/>
            <w:noWrap w:val="0"/>
            <w:vAlign w:val="center"/>
          </w:tcPr>
          <w:p w14:paraId="2C0C5791">
            <w:pPr>
              <w:spacing w:line="320" w:lineRule="exact"/>
              <w:jc w:val="center"/>
              <w:rPr>
                <w:rFonts w:ascii="宋体" w:hAnsi="宋体"/>
                <w:szCs w:val="21"/>
              </w:rPr>
            </w:pPr>
          </w:p>
        </w:tc>
        <w:tc>
          <w:tcPr>
            <w:tcW w:w="832" w:type="dxa"/>
            <w:vMerge w:val="continue"/>
            <w:noWrap w:val="0"/>
            <w:vAlign w:val="center"/>
          </w:tcPr>
          <w:p w14:paraId="23016E6E">
            <w:pPr>
              <w:spacing w:line="320" w:lineRule="exact"/>
              <w:jc w:val="center"/>
              <w:rPr>
                <w:rFonts w:ascii="宋体" w:hAnsi="宋体"/>
                <w:szCs w:val="21"/>
              </w:rPr>
            </w:pPr>
          </w:p>
        </w:tc>
        <w:tc>
          <w:tcPr>
            <w:tcW w:w="1421" w:type="dxa"/>
            <w:noWrap w:val="0"/>
            <w:vAlign w:val="top"/>
          </w:tcPr>
          <w:p w14:paraId="02798537">
            <w:pPr>
              <w:jc w:val="left"/>
              <w:rPr>
                <w:rFonts w:hint="eastAsia" w:ascii="宋体" w:hAnsi="宋体" w:eastAsia="宋体" w:cs="Times New Roman"/>
                <w:szCs w:val="21"/>
              </w:rPr>
            </w:pPr>
          </w:p>
          <w:p w14:paraId="4EC4D9A3">
            <w:pPr>
              <w:jc w:val="left"/>
              <w:rPr>
                <w:rFonts w:hint="eastAsia" w:ascii="宋体" w:hAnsi="宋体" w:eastAsia="宋体" w:cs="Times New Roman"/>
                <w:szCs w:val="21"/>
              </w:rPr>
            </w:pPr>
            <w:r>
              <w:rPr>
                <w:rFonts w:hint="eastAsia" w:ascii="宋体" w:hAnsi="宋体" w:eastAsia="宋体" w:cs="Times New Roman"/>
                <w:szCs w:val="21"/>
              </w:rPr>
              <w:t>安全生产管理体系及保证措施</w:t>
            </w:r>
          </w:p>
        </w:tc>
        <w:tc>
          <w:tcPr>
            <w:tcW w:w="638" w:type="dxa"/>
            <w:noWrap w:val="0"/>
            <w:vAlign w:val="top"/>
          </w:tcPr>
          <w:p w14:paraId="0DD4595C">
            <w:pPr>
              <w:jc w:val="left"/>
              <w:rPr>
                <w:rFonts w:hint="eastAsia" w:ascii="宋体" w:hAnsi="宋体" w:eastAsia="宋体" w:cs="Times New Roman"/>
                <w:szCs w:val="21"/>
              </w:rPr>
            </w:pPr>
          </w:p>
          <w:p w14:paraId="201C6CBC">
            <w:pPr>
              <w:jc w:val="left"/>
              <w:rPr>
                <w:rFonts w:hint="eastAsia" w:ascii="宋体" w:hAnsi="宋体" w:eastAsia="宋体" w:cs="Times New Roman"/>
                <w:szCs w:val="21"/>
              </w:rPr>
            </w:pPr>
          </w:p>
          <w:p w14:paraId="661F889B">
            <w:pPr>
              <w:jc w:val="left"/>
              <w:rPr>
                <w:rFonts w:hint="eastAsia" w:ascii="宋体" w:hAnsi="宋体" w:eastAsia="宋体" w:cs="Times New Roman"/>
                <w:szCs w:val="21"/>
              </w:rPr>
            </w:pPr>
            <w:r>
              <w:rPr>
                <w:rFonts w:hint="eastAsia" w:ascii="宋体" w:hAnsi="宋体" w:eastAsia="宋体" w:cs="Times New Roman"/>
                <w:szCs w:val="21"/>
              </w:rPr>
              <w:t>2 分</w:t>
            </w:r>
          </w:p>
        </w:tc>
        <w:tc>
          <w:tcPr>
            <w:tcW w:w="4570" w:type="dxa"/>
            <w:noWrap w:val="0"/>
            <w:vAlign w:val="top"/>
          </w:tcPr>
          <w:p w14:paraId="6C6ADE18">
            <w:pPr>
              <w:jc w:val="left"/>
              <w:rPr>
                <w:rFonts w:hint="eastAsia" w:ascii="宋体" w:hAnsi="宋体" w:eastAsia="宋体" w:cs="Times New Roman"/>
                <w:szCs w:val="21"/>
              </w:rPr>
            </w:pPr>
            <w:r>
              <w:rPr>
                <w:rFonts w:hint="eastAsia" w:ascii="宋体" w:hAnsi="宋体" w:eastAsia="宋体" w:cs="Times New Roman"/>
                <w:szCs w:val="21"/>
              </w:rPr>
              <w:t xml:space="preserve">措施完善，科学合理，实施性强，得 1.6-2.0 分； </w:t>
            </w:r>
          </w:p>
          <w:p w14:paraId="0521653A">
            <w:pPr>
              <w:jc w:val="left"/>
              <w:rPr>
                <w:rFonts w:hint="eastAsia" w:ascii="宋体" w:hAnsi="宋体" w:eastAsia="宋体" w:cs="Times New Roman"/>
                <w:szCs w:val="21"/>
              </w:rPr>
            </w:pPr>
            <w:r>
              <w:rPr>
                <w:rFonts w:hint="eastAsia" w:ascii="宋体" w:hAnsi="宋体" w:eastAsia="宋体" w:cs="Times New Roman"/>
                <w:szCs w:val="21"/>
              </w:rPr>
              <w:t>措施较完善，措施较合理，实施性较强，得 1.2-1.6 分。</w:t>
            </w:r>
          </w:p>
          <w:p w14:paraId="697B0F27">
            <w:pPr>
              <w:jc w:val="left"/>
              <w:rPr>
                <w:rFonts w:hint="eastAsia" w:ascii="宋体" w:hAnsi="宋体" w:eastAsia="宋体" w:cs="Times New Roman"/>
                <w:szCs w:val="21"/>
              </w:rPr>
            </w:pPr>
            <w:r>
              <w:rPr>
                <w:rFonts w:hint="eastAsia" w:ascii="宋体" w:hAnsi="宋体" w:eastAsia="宋体" w:cs="Times New Roman"/>
                <w:szCs w:val="21"/>
              </w:rPr>
              <w:t>措施基本完善，措施基本合理，实施性一般，得1.2 分。</w:t>
            </w:r>
          </w:p>
        </w:tc>
      </w:tr>
      <w:tr w14:paraId="1156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81" w:type="dxa"/>
            <w:vMerge w:val="continue"/>
            <w:noWrap w:val="0"/>
            <w:vAlign w:val="center"/>
          </w:tcPr>
          <w:p w14:paraId="6CE6BF3F">
            <w:pPr>
              <w:spacing w:line="320" w:lineRule="exact"/>
              <w:jc w:val="center"/>
              <w:rPr>
                <w:rFonts w:ascii="宋体" w:hAnsi="宋体"/>
                <w:szCs w:val="21"/>
              </w:rPr>
            </w:pPr>
          </w:p>
        </w:tc>
        <w:tc>
          <w:tcPr>
            <w:tcW w:w="907" w:type="dxa"/>
            <w:vMerge w:val="continue"/>
            <w:noWrap w:val="0"/>
            <w:vAlign w:val="center"/>
          </w:tcPr>
          <w:p w14:paraId="14B81437">
            <w:pPr>
              <w:spacing w:line="320" w:lineRule="exact"/>
              <w:jc w:val="center"/>
              <w:rPr>
                <w:rFonts w:ascii="宋体" w:hAnsi="宋体"/>
                <w:szCs w:val="21"/>
              </w:rPr>
            </w:pPr>
          </w:p>
        </w:tc>
        <w:tc>
          <w:tcPr>
            <w:tcW w:w="832" w:type="dxa"/>
            <w:vMerge w:val="continue"/>
            <w:noWrap w:val="0"/>
            <w:vAlign w:val="center"/>
          </w:tcPr>
          <w:p w14:paraId="4A6AC73D">
            <w:pPr>
              <w:spacing w:line="320" w:lineRule="exact"/>
              <w:jc w:val="center"/>
              <w:rPr>
                <w:rFonts w:ascii="宋体" w:hAnsi="宋体"/>
                <w:szCs w:val="21"/>
              </w:rPr>
            </w:pPr>
          </w:p>
        </w:tc>
        <w:tc>
          <w:tcPr>
            <w:tcW w:w="1421" w:type="dxa"/>
            <w:noWrap w:val="0"/>
            <w:vAlign w:val="top"/>
          </w:tcPr>
          <w:p w14:paraId="3EBFF586">
            <w:pPr>
              <w:jc w:val="left"/>
              <w:rPr>
                <w:rFonts w:hint="eastAsia" w:ascii="宋体" w:hAnsi="宋体" w:eastAsia="宋体" w:cs="Times New Roman"/>
                <w:szCs w:val="21"/>
              </w:rPr>
            </w:pPr>
            <w:r>
              <w:rPr>
                <w:rFonts w:hint="eastAsia" w:ascii="宋体" w:hAnsi="宋体" w:eastAsia="宋体" w:cs="Times New Roman"/>
                <w:szCs w:val="21"/>
              </w:rPr>
              <w:t>环境保护、水土保持保证、文明施工体系及保证措施</w:t>
            </w:r>
          </w:p>
        </w:tc>
        <w:tc>
          <w:tcPr>
            <w:tcW w:w="638" w:type="dxa"/>
            <w:noWrap w:val="0"/>
            <w:vAlign w:val="top"/>
          </w:tcPr>
          <w:p w14:paraId="4069C285">
            <w:pPr>
              <w:jc w:val="left"/>
              <w:rPr>
                <w:rFonts w:hint="eastAsia" w:ascii="宋体" w:hAnsi="宋体" w:eastAsia="宋体" w:cs="Times New Roman"/>
                <w:szCs w:val="21"/>
              </w:rPr>
            </w:pPr>
          </w:p>
          <w:p w14:paraId="677CC9B9">
            <w:pPr>
              <w:jc w:val="left"/>
              <w:rPr>
                <w:rFonts w:hint="eastAsia" w:ascii="宋体" w:hAnsi="宋体" w:eastAsia="宋体" w:cs="Times New Roman"/>
                <w:szCs w:val="21"/>
              </w:rPr>
            </w:pPr>
          </w:p>
          <w:p w14:paraId="40172454">
            <w:pPr>
              <w:jc w:val="left"/>
              <w:rPr>
                <w:rFonts w:hint="eastAsia" w:ascii="宋体" w:hAnsi="宋体" w:eastAsia="宋体" w:cs="Times New Roman"/>
                <w:szCs w:val="21"/>
              </w:rPr>
            </w:pPr>
            <w:r>
              <w:rPr>
                <w:rFonts w:hint="eastAsia" w:ascii="宋体" w:hAnsi="宋体" w:eastAsia="宋体" w:cs="Times New Roman"/>
                <w:szCs w:val="21"/>
              </w:rPr>
              <w:t>2 分</w:t>
            </w:r>
          </w:p>
        </w:tc>
        <w:tc>
          <w:tcPr>
            <w:tcW w:w="4570" w:type="dxa"/>
            <w:noWrap w:val="0"/>
            <w:vAlign w:val="top"/>
          </w:tcPr>
          <w:p w14:paraId="3A227D68">
            <w:pPr>
              <w:jc w:val="left"/>
              <w:rPr>
                <w:rFonts w:hint="eastAsia" w:ascii="宋体" w:hAnsi="宋体" w:eastAsia="宋体" w:cs="Times New Roman"/>
                <w:szCs w:val="21"/>
              </w:rPr>
            </w:pPr>
            <w:r>
              <w:rPr>
                <w:rFonts w:hint="eastAsia" w:ascii="宋体" w:hAnsi="宋体" w:eastAsia="宋体" w:cs="Times New Roman"/>
                <w:szCs w:val="21"/>
              </w:rPr>
              <w:t xml:space="preserve">措施完善，科学合理，实施性强，得 1.6-2.0 分； </w:t>
            </w:r>
          </w:p>
          <w:p w14:paraId="138F2D21">
            <w:pPr>
              <w:jc w:val="left"/>
              <w:rPr>
                <w:rFonts w:hint="eastAsia" w:ascii="宋体" w:hAnsi="宋体" w:eastAsia="宋体" w:cs="Times New Roman"/>
                <w:szCs w:val="21"/>
              </w:rPr>
            </w:pPr>
            <w:r>
              <w:rPr>
                <w:rFonts w:hint="eastAsia" w:ascii="宋体" w:hAnsi="宋体" w:eastAsia="宋体" w:cs="Times New Roman"/>
                <w:szCs w:val="21"/>
              </w:rPr>
              <w:t>措施较完善，措施较合理，实施性较强，得 1.2-1.6 分；</w:t>
            </w:r>
          </w:p>
          <w:p w14:paraId="652E1AC5">
            <w:pPr>
              <w:jc w:val="left"/>
              <w:rPr>
                <w:rFonts w:hint="eastAsia" w:ascii="宋体" w:hAnsi="宋体" w:eastAsia="宋体" w:cs="Times New Roman"/>
                <w:szCs w:val="21"/>
              </w:rPr>
            </w:pPr>
            <w:r>
              <w:rPr>
                <w:rFonts w:hint="eastAsia" w:ascii="宋体" w:hAnsi="宋体" w:eastAsia="宋体" w:cs="Times New Roman"/>
                <w:szCs w:val="21"/>
              </w:rPr>
              <w:t>措施基本完善，措施基本合理，实施性一般，得1.2 分。</w:t>
            </w:r>
          </w:p>
        </w:tc>
      </w:tr>
      <w:tr w14:paraId="47ED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81" w:type="dxa"/>
            <w:vMerge w:val="continue"/>
            <w:noWrap w:val="0"/>
            <w:vAlign w:val="center"/>
          </w:tcPr>
          <w:p w14:paraId="2F4C1548">
            <w:pPr>
              <w:spacing w:line="320" w:lineRule="exact"/>
              <w:jc w:val="center"/>
              <w:rPr>
                <w:rFonts w:ascii="宋体" w:hAnsi="宋体"/>
                <w:szCs w:val="21"/>
              </w:rPr>
            </w:pPr>
          </w:p>
        </w:tc>
        <w:tc>
          <w:tcPr>
            <w:tcW w:w="907" w:type="dxa"/>
            <w:vMerge w:val="continue"/>
            <w:noWrap w:val="0"/>
            <w:vAlign w:val="center"/>
          </w:tcPr>
          <w:p w14:paraId="4362F867">
            <w:pPr>
              <w:spacing w:line="320" w:lineRule="exact"/>
              <w:jc w:val="center"/>
              <w:rPr>
                <w:rFonts w:ascii="宋体" w:hAnsi="宋体"/>
                <w:szCs w:val="21"/>
              </w:rPr>
            </w:pPr>
          </w:p>
        </w:tc>
        <w:tc>
          <w:tcPr>
            <w:tcW w:w="832" w:type="dxa"/>
            <w:vMerge w:val="continue"/>
            <w:noWrap w:val="0"/>
            <w:vAlign w:val="center"/>
          </w:tcPr>
          <w:p w14:paraId="71AFE697">
            <w:pPr>
              <w:spacing w:line="320" w:lineRule="exact"/>
              <w:jc w:val="center"/>
              <w:rPr>
                <w:rFonts w:ascii="宋体" w:hAnsi="宋体"/>
                <w:szCs w:val="21"/>
              </w:rPr>
            </w:pPr>
          </w:p>
        </w:tc>
        <w:tc>
          <w:tcPr>
            <w:tcW w:w="1421" w:type="dxa"/>
            <w:noWrap w:val="0"/>
            <w:vAlign w:val="top"/>
          </w:tcPr>
          <w:p w14:paraId="3025A911">
            <w:pPr>
              <w:jc w:val="left"/>
              <w:rPr>
                <w:rFonts w:hint="eastAsia" w:ascii="宋体" w:hAnsi="宋体" w:eastAsia="宋体" w:cs="Times New Roman"/>
                <w:szCs w:val="21"/>
              </w:rPr>
            </w:pPr>
          </w:p>
          <w:p w14:paraId="59C26E44">
            <w:pPr>
              <w:jc w:val="left"/>
              <w:rPr>
                <w:rFonts w:hint="eastAsia" w:ascii="宋体" w:hAnsi="宋体" w:eastAsia="宋体" w:cs="Times New Roman"/>
                <w:szCs w:val="21"/>
              </w:rPr>
            </w:pPr>
            <w:r>
              <w:rPr>
                <w:rFonts w:hint="eastAsia" w:ascii="宋体" w:hAnsi="宋体" w:eastAsia="宋体" w:cs="Times New Roman"/>
                <w:szCs w:val="21"/>
              </w:rPr>
              <w:t>项目风险预测与防范，事故应急预案</w:t>
            </w:r>
          </w:p>
        </w:tc>
        <w:tc>
          <w:tcPr>
            <w:tcW w:w="638" w:type="dxa"/>
            <w:noWrap w:val="0"/>
            <w:vAlign w:val="top"/>
          </w:tcPr>
          <w:p w14:paraId="54753CB1">
            <w:pPr>
              <w:jc w:val="left"/>
              <w:rPr>
                <w:rFonts w:hint="eastAsia" w:ascii="宋体" w:hAnsi="宋体" w:eastAsia="宋体" w:cs="Times New Roman"/>
                <w:szCs w:val="21"/>
              </w:rPr>
            </w:pPr>
          </w:p>
          <w:p w14:paraId="47796F57">
            <w:pPr>
              <w:jc w:val="left"/>
              <w:rPr>
                <w:rFonts w:hint="eastAsia" w:ascii="宋体" w:hAnsi="宋体" w:eastAsia="宋体" w:cs="Times New Roman"/>
                <w:szCs w:val="21"/>
              </w:rPr>
            </w:pPr>
          </w:p>
          <w:p w14:paraId="69C7B50E">
            <w:pPr>
              <w:jc w:val="left"/>
              <w:rPr>
                <w:rFonts w:hint="eastAsia" w:ascii="宋体" w:hAnsi="宋体" w:eastAsia="宋体" w:cs="Times New Roman"/>
                <w:szCs w:val="21"/>
              </w:rPr>
            </w:pPr>
            <w:r>
              <w:rPr>
                <w:rFonts w:hint="eastAsia" w:ascii="宋体" w:hAnsi="宋体" w:eastAsia="宋体" w:cs="Times New Roman"/>
                <w:szCs w:val="21"/>
              </w:rPr>
              <w:t>2 分</w:t>
            </w:r>
          </w:p>
        </w:tc>
        <w:tc>
          <w:tcPr>
            <w:tcW w:w="4570" w:type="dxa"/>
            <w:noWrap w:val="0"/>
            <w:vAlign w:val="top"/>
          </w:tcPr>
          <w:p w14:paraId="287801C4">
            <w:pPr>
              <w:jc w:val="left"/>
              <w:rPr>
                <w:rFonts w:hint="eastAsia" w:ascii="宋体" w:hAnsi="宋体" w:eastAsia="宋体" w:cs="Times New Roman"/>
                <w:szCs w:val="21"/>
              </w:rPr>
            </w:pPr>
            <w:r>
              <w:rPr>
                <w:rFonts w:hint="eastAsia" w:ascii="宋体" w:hAnsi="宋体" w:eastAsia="宋体" w:cs="Times New Roman"/>
                <w:szCs w:val="21"/>
              </w:rPr>
              <w:t xml:space="preserve">方案完善，科学合理，实施性强，得 1.6-2.0 分； </w:t>
            </w:r>
          </w:p>
          <w:p w14:paraId="0B1B6909">
            <w:pPr>
              <w:jc w:val="left"/>
              <w:rPr>
                <w:rFonts w:hint="eastAsia" w:ascii="宋体" w:hAnsi="宋体" w:eastAsia="宋体" w:cs="Times New Roman"/>
                <w:szCs w:val="21"/>
              </w:rPr>
            </w:pPr>
            <w:r>
              <w:rPr>
                <w:rFonts w:hint="eastAsia" w:ascii="宋体" w:hAnsi="宋体" w:eastAsia="宋体" w:cs="Times New Roman"/>
                <w:szCs w:val="21"/>
              </w:rPr>
              <w:t>方案较完善，措施较合理，实施性较强，得 1.2-1.6 分；</w:t>
            </w:r>
          </w:p>
          <w:p w14:paraId="40B0875F">
            <w:pPr>
              <w:jc w:val="left"/>
              <w:rPr>
                <w:rFonts w:hint="eastAsia" w:ascii="宋体" w:hAnsi="宋体" w:eastAsia="宋体" w:cs="Times New Roman"/>
                <w:szCs w:val="21"/>
              </w:rPr>
            </w:pPr>
            <w:r>
              <w:rPr>
                <w:rFonts w:hint="eastAsia" w:ascii="宋体" w:hAnsi="宋体" w:eastAsia="宋体" w:cs="Times New Roman"/>
                <w:szCs w:val="21"/>
              </w:rPr>
              <w:t>方案基本完善，措施基本合理，实施性一般，得1.2 分。</w:t>
            </w:r>
          </w:p>
        </w:tc>
      </w:tr>
      <w:tr w14:paraId="2DB8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881" w:type="dxa"/>
            <w:noWrap w:val="0"/>
            <w:vAlign w:val="center"/>
          </w:tcPr>
          <w:p w14:paraId="29A32001">
            <w:pPr>
              <w:spacing w:line="320" w:lineRule="exact"/>
              <w:jc w:val="center"/>
              <w:rPr>
                <w:rFonts w:ascii="宋体" w:hAnsi="宋体" w:cs="宋体"/>
                <w:kern w:val="0"/>
                <w:szCs w:val="21"/>
                <w:lang w:val="zh-CN"/>
              </w:rPr>
            </w:pPr>
            <w:r>
              <w:rPr>
                <w:rFonts w:hint="eastAsia" w:ascii="宋体" w:hAnsi="宋体"/>
                <w:szCs w:val="21"/>
              </w:rPr>
              <w:t>2.2.4（</w:t>
            </w:r>
            <w:r>
              <w:rPr>
                <w:rFonts w:ascii="宋体" w:hAnsi="宋体"/>
                <w:szCs w:val="21"/>
              </w:rPr>
              <w:t>4</w:t>
            </w:r>
            <w:r>
              <w:rPr>
                <w:rFonts w:hint="eastAsia" w:ascii="宋体" w:hAnsi="宋体"/>
                <w:szCs w:val="21"/>
              </w:rPr>
              <w:t>）</w:t>
            </w:r>
          </w:p>
        </w:tc>
        <w:tc>
          <w:tcPr>
            <w:tcW w:w="907" w:type="dxa"/>
            <w:noWrap w:val="0"/>
            <w:vAlign w:val="center"/>
          </w:tcPr>
          <w:p w14:paraId="54534D4F">
            <w:pPr>
              <w:spacing w:line="320" w:lineRule="exact"/>
              <w:jc w:val="center"/>
              <w:rPr>
                <w:rFonts w:ascii="宋体" w:hAnsi="宋体" w:cs="宋体"/>
                <w:kern w:val="0"/>
                <w:szCs w:val="21"/>
                <w:lang w:val="zh-CN"/>
              </w:rPr>
            </w:pPr>
            <w:r>
              <w:rPr>
                <w:rFonts w:ascii="宋体" w:hAnsi="宋体"/>
                <w:szCs w:val="21"/>
              </w:rPr>
              <w:t>评标价</w:t>
            </w:r>
          </w:p>
        </w:tc>
        <w:tc>
          <w:tcPr>
            <w:tcW w:w="832" w:type="dxa"/>
            <w:noWrap w:val="0"/>
            <w:vAlign w:val="center"/>
          </w:tcPr>
          <w:p w14:paraId="05A7E039">
            <w:pPr>
              <w:jc w:val="left"/>
              <w:rPr>
                <w:rFonts w:hint="eastAsia" w:ascii="宋体" w:hAnsi="宋体" w:eastAsia="宋体" w:cs="Times New Roman"/>
                <w:szCs w:val="21"/>
                <w:lang w:val="zh-CN"/>
              </w:rPr>
            </w:pPr>
            <w:r>
              <w:rPr>
                <w:rFonts w:hint="eastAsia" w:ascii="宋体" w:hAnsi="宋体" w:eastAsia="宋体" w:cs="Times New Roman"/>
                <w:szCs w:val="21"/>
              </w:rPr>
              <w:t>50分</w:t>
            </w:r>
          </w:p>
        </w:tc>
        <w:tc>
          <w:tcPr>
            <w:tcW w:w="6629" w:type="dxa"/>
            <w:gridSpan w:val="3"/>
            <w:noWrap w:val="0"/>
            <w:vAlign w:val="center"/>
          </w:tcPr>
          <w:p w14:paraId="71861B39">
            <w:pPr>
              <w:jc w:val="left"/>
              <w:rPr>
                <w:rFonts w:hint="eastAsia" w:ascii="宋体" w:hAnsi="宋体" w:eastAsia="宋体" w:cs="Times New Roman"/>
                <w:szCs w:val="21"/>
              </w:rPr>
            </w:pPr>
            <w:r>
              <w:rPr>
                <w:rFonts w:hint="eastAsia" w:ascii="宋体" w:hAnsi="宋体" w:eastAsia="宋体" w:cs="Times New Roman"/>
                <w:szCs w:val="21"/>
              </w:rPr>
              <w:t>评标价得分计算公式：</w:t>
            </w:r>
          </w:p>
          <w:p w14:paraId="4FD0F21C">
            <w:pPr>
              <w:jc w:val="left"/>
              <w:rPr>
                <w:rFonts w:hint="eastAsia" w:ascii="宋体" w:hAnsi="宋体" w:eastAsia="宋体" w:cs="Times New Roman"/>
                <w:szCs w:val="21"/>
              </w:rPr>
            </w:pPr>
            <w:r>
              <w:rPr>
                <w:rFonts w:hint="eastAsia" w:ascii="宋体" w:hAnsi="宋体" w:eastAsia="宋体" w:cs="Times New Roman"/>
                <w:szCs w:val="21"/>
              </w:rPr>
              <w:t>（1）如果投标人的评标价＞评标基准价，则评标价得分＝50－偏差率×100 ×E1；</w:t>
            </w:r>
          </w:p>
          <w:p w14:paraId="58A34FEB">
            <w:pPr>
              <w:jc w:val="left"/>
              <w:rPr>
                <w:rFonts w:hint="eastAsia" w:ascii="宋体" w:hAnsi="宋体" w:eastAsia="宋体" w:cs="Times New Roman"/>
                <w:szCs w:val="21"/>
              </w:rPr>
            </w:pPr>
            <w:r>
              <w:rPr>
                <w:rFonts w:hint="eastAsia" w:ascii="宋体" w:hAnsi="宋体" w:eastAsia="宋体" w:cs="Times New Roman"/>
                <w:szCs w:val="21"/>
              </w:rPr>
              <w:t>（2）如果投标人的评标价≤评标基准价，则评标价得分＝50＋偏差率×100 ×E2；</w:t>
            </w:r>
          </w:p>
          <w:p w14:paraId="783B245C">
            <w:pPr>
              <w:jc w:val="left"/>
              <w:rPr>
                <w:rFonts w:hint="eastAsia" w:ascii="宋体" w:hAnsi="宋体" w:eastAsia="宋体" w:cs="Times New Roman"/>
                <w:szCs w:val="21"/>
              </w:rPr>
            </w:pPr>
            <w:r>
              <w:rPr>
                <w:rFonts w:hint="eastAsia" w:ascii="宋体" w:hAnsi="宋体" w:eastAsia="宋体" w:cs="Times New Roman"/>
                <w:szCs w:val="21"/>
              </w:rPr>
              <w:t>其中，E1 是评标价每高于评标基准价一个百分点的扣分值，E1＝0.</w:t>
            </w:r>
            <w:r>
              <w:rPr>
                <w:rFonts w:hint="eastAsia" w:ascii="宋体" w:hAnsi="宋体" w:eastAsia="宋体" w:cs="Times New Roman"/>
                <w:szCs w:val="21"/>
                <w:lang w:val="en-US" w:eastAsia="zh-CN"/>
              </w:rPr>
              <w:t>6</w:t>
            </w:r>
            <w:r>
              <w:rPr>
                <w:rFonts w:hint="eastAsia" w:ascii="宋体" w:hAnsi="宋体" w:eastAsia="宋体" w:cs="Times New Roman"/>
                <w:szCs w:val="21"/>
              </w:rPr>
              <w:t>；E2 是评标价每低于评标基准价一个百分点的扣分值，E2＝0.</w:t>
            </w:r>
            <w:r>
              <w:rPr>
                <w:rFonts w:hint="eastAsia" w:ascii="宋体" w:hAnsi="宋体" w:eastAsia="宋体" w:cs="Times New Roman"/>
                <w:szCs w:val="21"/>
                <w:lang w:val="en-US" w:eastAsia="zh-CN"/>
              </w:rPr>
              <w:t>3</w:t>
            </w:r>
            <w:r>
              <w:rPr>
                <w:rFonts w:hint="eastAsia" w:ascii="宋体" w:hAnsi="宋体" w:eastAsia="宋体" w:cs="Times New Roman"/>
                <w:szCs w:val="21"/>
              </w:rPr>
              <w:t>。</w:t>
            </w:r>
          </w:p>
          <w:p w14:paraId="14B156C7">
            <w:pPr>
              <w:jc w:val="left"/>
              <w:rPr>
                <w:rFonts w:hint="eastAsia" w:ascii="宋体" w:hAnsi="宋体" w:eastAsia="宋体" w:cs="Times New Roman"/>
                <w:szCs w:val="21"/>
              </w:rPr>
            </w:pPr>
            <w:r>
              <w:rPr>
                <w:rFonts w:hint="eastAsia" w:ascii="宋体" w:hAnsi="宋体" w:eastAsia="宋体" w:cs="Times New Roman"/>
                <w:szCs w:val="21"/>
              </w:rPr>
              <w:t>评标价最低得分为 0 分，评标价得分保留两位小数，第三位四舍五入</w:t>
            </w:r>
          </w:p>
        </w:tc>
      </w:tr>
    </w:tbl>
    <w:p w14:paraId="2D8A4F55">
      <w:pPr>
        <w:spacing w:before="31" w:line="287" w:lineRule="auto"/>
        <w:ind w:left="212" w:right="247" w:hanging="2"/>
        <w:rPr>
          <w:rFonts w:ascii="宋体" w:hAnsi="宋体" w:eastAsia="宋体" w:cs="宋体"/>
          <w:sz w:val="20"/>
          <w:szCs w:val="20"/>
        </w:rPr>
      </w:pPr>
      <w:r>
        <w:rPr>
          <w:rFonts w:ascii="宋体" w:hAnsi="宋体" w:eastAsia="宋体" w:cs="宋体"/>
          <w:spacing w:val="9"/>
          <w:sz w:val="20"/>
          <w:szCs w:val="20"/>
        </w:rPr>
        <w:t>注：1、技术文件（承包人建议书和承包人实施计划）评分标准中各评分因素细分项缺项则该项得</w:t>
      </w:r>
      <w:r>
        <w:rPr>
          <w:rFonts w:ascii="宋体" w:hAnsi="宋体" w:eastAsia="宋体" w:cs="宋体"/>
          <w:spacing w:val="-25"/>
          <w:sz w:val="20"/>
          <w:szCs w:val="20"/>
        </w:rPr>
        <w:t xml:space="preserve"> </w:t>
      </w:r>
      <w:r>
        <w:rPr>
          <w:rFonts w:ascii="宋体" w:hAnsi="宋体" w:eastAsia="宋体" w:cs="宋体"/>
          <w:spacing w:val="9"/>
          <w:sz w:val="20"/>
          <w:szCs w:val="20"/>
        </w:rPr>
        <w:t>0</w:t>
      </w:r>
      <w:r>
        <w:rPr>
          <w:rFonts w:ascii="宋体" w:hAnsi="宋体" w:eastAsia="宋体" w:cs="宋体"/>
          <w:sz w:val="20"/>
          <w:szCs w:val="20"/>
        </w:rPr>
        <w:t xml:space="preserve"> </w:t>
      </w:r>
      <w:r>
        <w:rPr>
          <w:rFonts w:ascii="宋体" w:hAnsi="宋体" w:eastAsia="宋体" w:cs="宋体"/>
          <w:spacing w:val="-1"/>
          <w:sz w:val="20"/>
          <w:szCs w:val="20"/>
        </w:rPr>
        <w:t>分。</w:t>
      </w:r>
    </w:p>
    <w:p w14:paraId="00EE63EF">
      <w:pPr>
        <w:numPr>
          <w:ilvl w:val="0"/>
          <w:numId w:val="2"/>
        </w:numPr>
        <w:spacing w:before="30" w:line="287" w:lineRule="auto"/>
        <w:ind w:left="220" w:right="203" w:hanging="8"/>
        <w:rPr>
          <w:rFonts w:ascii="宋体" w:hAnsi="宋体" w:eastAsia="宋体" w:cs="宋体"/>
          <w:spacing w:val="6"/>
          <w:sz w:val="20"/>
          <w:szCs w:val="20"/>
        </w:rPr>
      </w:pPr>
      <w:r>
        <w:rPr>
          <w:rFonts w:ascii="宋体" w:hAnsi="宋体" w:eastAsia="宋体" w:cs="宋体"/>
          <w:spacing w:val="9"/>
          <w:sz w:val="20"/>
          <w:szCs w:val="20"/>
        </w:rPr>
        <w:t>各评分因素细分项评标委员会各成员打分保留</w:t>
      </w:r>
      <w:r>
        <w:rPr>
          <w:rFonts w:ascii="宋体" w:hAnsi="宋体" w:eastAsia="宋体" w:cs="宋体"/>
          <w:spacing w:val="-24"/>
          <w:sz w:val="20"/>
          <w:szCs w:val="20"/>
        </w:rPr>
        <w:t xml:space="preserve"> </w:t>
      </w:r>
      <w:r>
        <w:rPr>
          <w:rFonts w:ascii="宋体" w:hAnsi="宋体" w:eastAsia="宋体" w:cs="宋体"/>
          <w:spacing w:val="9"/>
          <w:sz w:val="20"/>
          <w:szCs w:val="20"/>
        </w:rPr>
        <w:t>1</w:t>
      </w:r>
      <w:r>
        <w:rPr>
          <w:rFonts w:ascii="宋体" w:hAnsi="宋体" w:eastAsia="宋体" w:cs="宋体"/>
          <w:spacing w:val="-38"/>
          <w:sz w:val="20"/>
          <w:szCs w:val="20"/>
        </w:rPr>
        <w:t xml:space="preserve"> </w:t>
      </w:r>
      <w:r>
        <w:rPr>
          <w:rFonts w:ascii="宋体" w:hAnsi="宋体" w:eastAsia="宋体" w:cs="宋体"/>
          <w:spacing w:val="8"/>
          <w:sz w:val="20"/>
          <w:szCs w:val="20"/>
        </w:rPr>
        <w:t>位小数，汇总得分以打分平均值确定，保留小数</w:t>
      </w:r>
      <w:r>
        <w:rPr>
          <w:rFonts w:ascii="宋体" w:hAnsi="宋体" w:eastAsia="宋体" w:cs="宋体"/>
          <w:spacing w:val="6"/>
          <w:sz w:val="20"/>
          <w:szCs w:val="20"/>
        </w:rPr>
        <w:t>点后两位，小数点后第</w:t>
      </w:r>
      <w:r>
        <w:rPr>
          <w:rFonts w:ascii="宋体" w:hAnsi="宋体" w:eastAsia="宋体" w:cs="宋体"/>
          <w:spacing w:val="-27"/>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位四舍五入。</w:t>
      </w:r>
    </w:p>
    <w:p w14:paraId="5E6F9875">
      <w:pPr>
        <w:numPr>
          <w:ilvl w:val="0"/>
          <w:numId w:val="2"/>
        </w:numPr>
        <w:spacing w:before="30" w:line="287" w:lineRule="auto"/>
        <w:ind w:left="220" w:right="203" w:hanging="8"/>
        <w:rPr>
          <w:rFonts w:ascii="宋体" w:hAnsi="宋体" w:eastAsia="宋体" w:cs="宋体"/>
          <w:sz w:val="20"/>
          <w:szCs w:val="20"/>
        </w:rPr>
      </w:pPr>
      <w:r>
        <w:rPr>
          <w:rFonts w:hint="eastAsia" w:ascii="宋体" w:hAnsi="宋体" w:eastAsia="宋体" w:cs="宋体"/>
          <w:spacing w:val="6"/>
          <w:sz w:val="20"/>
          <w:szCs w:val="20"/>
        </w:rPr>
        <w:t>各评分因素（评标价和履约信誉评分项除外）得分一般不得低于其权重分值的 60%，评标委员会成员对某一项评分因素的评分低于权重分值 60%的，应在评标报告中作出说明。</w:t>
      </w:r>
    </w:p>
    <w:p w14:paraId="25DB57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D8303"/>
    <w:multiLevelType w:val="singleLevel"/>
    <w:tmpl w:val="9CFD8303"/>
    <w:lvl w:ilvl="0" w:tentative="0">
      <w:start w:val="1"/>
      <w:numFmt w:val="decimal"/>
      <w:lvlText w:val="%1."/>
      <w:lvlJc w:val="left"/>
      <w:pPr>
        <w:tabs>
          <w:tab w:val="left" w:pos="312"/>
        </w:tabs>
      </w:pPr>
    </w:lvl>
  </w:abstractNum>
  <w:abstractNum w:abstractNumId="1">
    <w:nsid w:val="5BDDA309"/>
    <w:multiLevelType w:val="singleLevel"/>
    <w:tmpl w:val="5BDDA30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7546F"/>
    <w:rsid w:val="2FEC29E0"/>
    <w:rsid w:val="5957546F"/>
    <w:rsid w:val="63F9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99"/>
    <w:pPr>
      <w:shd w:val="clear" w:color="auto" w:fill="000080"/>
    </w:pPr>
  </w:style>
  <w:style w:type="paragraph" w:styleId="4">
    <w:name w:val="Body Text"/>
    <w:basedOn w:val="1"/>
    <w:qFormat/>
    <w:uiPriority w:val="0"/>
    <w:pPr>
      <w:spacing w:after="120" w:afterLines="0"/>
    </w:pPr>
  </w:style>
  <w:style w:type="paragraph" w:customStyle="1" w:styleId="7">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5980</Words>
  <Characters>6644</Characters>
  <Lines>0</Lines>
  <Paragraphs>0</Paragraphs>
  <TotalTime>2</TotalTime>
  <ScaleCrop>false</ScaleCrop>
  <LinksUpToDate>false</LinksUpToDate>
  <CharactersWithSpaces>6708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2026-03-16T07:25:00Z</dcterms:created>
  <dc:creator>Administrator</dc:creator>
  <cp:lastModifiedBy>李娜</cp:lastModifiedBy>
  <dcterms:modified xsi:type="dcterms:W3CDTF">2026-03-17T01:21:22Z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90B91EA4819849DCA2C12B359F4BEB30_11</vt:lpwstr>
  </property>
  <property fmtid="{D5CDD505-2E9C-101B-9397-08002B2CF9AE}" pid="4" name="KSOTemplateDocerSaveRecord">
    <vt:lpwstr>eyJoZGlkIjoiOWYyZDYxNTJjZmI2NmVkYTMyOWVjMGFiZjEzZGM5NjgiLCJ1c2VySWQiOiIxNTI1NDExOTAzIn0=</vt:lpwstr>
  </property>
</Properties>
</file>