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EE36F">
      <w:pPr>
        <w:keepNext/>
        <w:widowControl/>
        <w:bidi w:val="0"/>
        <w:spacing w:line="360" w:lineRule="auto"/>
        <w:ind w:left="0"/>
        <w:jc w:val="left"/>
        <w:outlineLvl w:val="2"/>
        <w:rPr>
          <w:rFonts w:ascii="宋体" w:hAnsi="宋体" w:eastAsia="宋体" w:cs="宋体"/>
          <w:b/>
          <w:bCs/>
          <w:color w:val="auto"/>
          <w:sz w:val="24"/>
          <w:szCs w:val="24"/>
          <w:highlight w:val="none"/>
          <w:lang w:val="en-US" w:eastAsia="en-US" w:bidi="ar-SA"/>
        </w:rPr>
      </w:pPr>
      <w:bookmarkStart w:id="0" w:name="_Toc7171"/>
      <w:r>
        <w:rPr>
          <w:rFonts w:hint="eastAsia" w:ascii="宋体" w:hAnsi="宋体" w:eastAsia="宋体" w:cs="宋体"/>
          <w:b/>
          <w:bCs/>
          <w:color w:val="auto"/>
          <w:sz w:val="24"/>
          <w:szCs w:val="24"/>
          <w:highlight w:val="none"/>
          <w:lang w:val="en-US" w:eastAsia="en-US" w:bidi="ar-SA"/>
        </w:rPr>
        <w:t>附件</w:t>
      </w:r>
      <w:r>
        <w:rPr>
          <w:rFonts w:ascii="宋体" w:hAnsi="宋体" w:eastAsia="宋体" w:cs="宋体"/>
          <w:b/>
          <w:bCs/>
          <w:color w:val="auto"/>
          <w:sz w:val="24"/>
          <w:szCs w:val="24"/>
          <w:highlight w:val="none"/>
          <w:lang w:val="en-US" w:eastAsia="en-US" w:bidi="ar-SA"/>
        </w:rPr>
        <w:t>1</w:t>
      </w:r>
      <w:r>
        <w:rPr>
          <w:rFonts w:hint="eastAsia" w:ascii="宋体" w:hAnsi="宋体" w:eastAsia="宋体" w:cs="宋体"/>
          <w:b/>
          <w:bCs/>
          <w:color w:val="auto"/>
          <w:sz w:val="24"/>
          <w:szCs w:val="24"/>
          <w:highlight w:val="none"/>
          <w:lang w:val="en-US" w:eastAsia="en-US" w:bidi="ar-SA"/>
        </w:rPr>
        <w:t>：资格审查条件</w:t>
      </w:r>
      <w:bookmarkEnd w:id="0"/>
    </w:p>
    <w:p w14:paraId="0AEA873E">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1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61CB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8642" w:type="dxa"/>
            <w:vAlign w:val="center"/>
          </w:tcPr>
          <w:p w14:paraId="4A029243">
            <w:pPr>
              <w:keepNext w:val="0"/>
              <w:keepLines w:val="0"/>
              <w:suppressLineNumbers w:val="0"/>
              <w:spacing w:before="0" w:beforeAutospacing="0" w:after="0" w:afterAutospacing="0"/>
              <w:ind w:left="0" w:right="0"/>
              <w:jc w:val="center"/>
              <w:rPr>
                <w:rFonts w:hint="default" w:ascii="宋体" w:hAnsi="宋体"/>
                <w:color w:val="auto"/>
                <w:sz w:val="21"/>
                <w:szCs w:val="24"/>
                <w:highlight w:val="none"/>
              </w:rPr>
            </w:pPr>
            <w:r>
              <w:rPr>
                <w:rFonts w:hint="eastAsia" w:ascii="宋体" w:hAnsi="宋体"/>
                <w:color w:val="auto"/>
                <w:sz w:val="21"/>
                <w:szCs w:val="24"/>
                <w:highlight w:val="none"/>
              </w:rPr>
              <w:t>资质等级要求</w:t>
            </w:r>
          </w:p>
        </w:tc>
      </w:tr>
      <w:tr w14:paraId="74A0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642" w:type="dxa"/>
            <w:vAlign w:val="center"/>
          </w:tcPr>
          <w:p w14:paraId="2DB1706A">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lang w:eastAsia="zh-CN"/>
              </w:rPr>
              <w:t>投标人应是中华人民共和国境内的法人或其他组织，持有有效的营业执照</w:t>
            </w:r>
            <w:r>
              <w:rPr>
                <w:rFonts w:hint="eastAsia" w:ascii="宋体" w:hAnsi="宋体" w:cs="宋体"/>
                <w:color w:val="auto"/>
                <w:kern w:val="0"/>
                <w:sz w:val="21"/>
                <w:szCs w:val="24"/>
                <w:highlight w:val="none"/>
                <w:lang w:eastAsia="zh-CN"/>
              </w:rPr>
              <w:t>。</w:t>
            </w:r>
          </w:p>
          <w:p w14:paraId="633D7B85">
            <w:pPr>
              <w:keepNext w:val="0"/>
              <w:keepLines w:val="0"/>
              <w:suppressLineNumbers w:val="0"/>
              <w:snapToGrid w:val="0"/>
              <w:spacing w:before="0" w:beforeAutospacing="0" w:after="0" w:afterAutospacing="0" w:line="360" w:lineRule="exact"/>
              <w:ind w:left="0" w:right="0" w:firstLine="420" w:firstLineChars="200"/>
              <w:rPr>
                <w:rFonts w:hint="default"/>
                <w:color w:val="auto"/>
                <w:highlight w:val="none"/>
                <w:lang w:val="en-US"/>
              </w:rPr>
            </w:pPr>
            <w:r>
              <w:rPr>
                <w:rFonts w:hint="default" w:ascii="宋体" w:hAnsi="宋体" w:eastAsia="宋体" w:cs="宋体"/>
                <w:color w:val="auto"/>
                <w:kern w:val="0"/>
                <w:sz w:val="21"/>
                <w:szCs w:val="24"/>
                <w:highlight w:val="none"/>
                <w:lang w:val="en-US" w:eastAsia="zh-CN"/>
              </w:rPr>
              <w:t>具备涉及本项目网络安全设备品牌（包括深信服、奇安信、山石网科品牌，以清单标注为准）的授权证明文件</w:t>
            </w:r>
            <w:r>
              <w:rPr>
                <w:rFonts w:hint="eastAsia" w:ascii="宋体" w:hAnsi="宋体" w:eastAsia="宋体" w:cs="宋体"/>
                <w:color w:val="auto"/>
                <w:kern w:val="0"/>
                <w:sz w:val="21"/>
                <w:szCs w:val="24"/>
                <w:highlight w:val="none"/>
                <w:lang w:val="en-US" w:eastAsia="zh-CN"/>
              </w:rPr>
              <w:t>。</w:t>
            </w:r>
          </w:p>
        </w:tc>
      </w:tr>
    </w:tbl>
    <w:p w14:paraId="7AA679B6">
      <w:pPr>
        <w:rPr>
          <w:rFonts w:ascii="宋体" w:hAnsi="宋体"/>
          <w:color w:val="auto"/>
          <w:sz w:val="24"/>
          <w:szCs w:val="24"/>
          <w:highlight w:val="none"/>
        </w:rPr>
      </w:pPr>
    </w:p>
    <w:p w14:paraId="57AAD61A">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1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69E7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4F0246C5">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业绩要求</w:t>
            </w:r>
          </w:p>
        </w:tc>
      </w:tr>
      <w:tr w14:paraId="4E02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57F3216E">
            <w:pPr>
              <w:keepNext w:val="0"/>
              <w:keepLines w:val="0"/>
              <w:suppressLineNumbers w:val="0"/>
              <w:snapToGrid w:val="0"/>
              <w:spacing w:before="0" w:beforeAutospacing="0" w:after="0" w:afterAutospacing="0" w:line="360" w:lineRule="exact"/>
              <w:ind w:left="0" w:right="0" w:firstLine="420" w:firstLineChars="200"/>
              <w:rPr>
                <w:rFonts w:hint="eastAsia" w:eastAsia="宋体"/>
                <w:color w:val="auto"/>
                <w:highlight w:val="none"/>
                <w:lang w:eastAsia="zh-CN"/>
              </w:rPr>
            </w:pPr>
            <w:r>
              <w:rPr>
                <w:rFonts w:hint="eastAsia" w:ascii="宋体" w:hAnsi="宋体"/>
                <w:color w:val="auto"/>
                <w:kern w:val="0"/>
                <w:sz w:val="21"/>
                <w:szCs w:val="21"/>
                <w:highlight w:val="none"/>
              </w:rPr>
              <w:t>近3年（202</w:t>
            </w: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3月</w:t>
            </w:r>
            <w:r>
              <w:rPr>
                <w:rFonts w:hint="eastAsia" w:ascii="宋体" w:hAnsi="宋体"/>
                <w:color w:val="auto"/>
                <w:kern w:val="0"/>
                <w:sz w:val="21"/>
                <w:szCs w:val="21"/>
                <w:highlight w:val="none"/>
              </w:rPr>
              <w:t>1日至投标截止时间，以合同签订时间为准），至少承担过1项合同金额不少于</w:t>
            </w:r>
            <w:r>
              <w:rPr>
                <w:rFonts w:hint="eastAsia" w:ascii="宋体" w:hAnsi="宋体"/>
                <w:color w:val="auto"/>
                <w:kern w:val="0"/>
                <w:sz w:val="21"/>
                <w:szCs w:val="21"/>
                <w:highlight w:val="none"/>
                <w:lang w:val="en-US" w:eastAsia="zh-CN"/>
              </w:rPr>
              <w:t>4</w:t>
            </w:r>
            <w:r>
              <w:rPr>
                <w:rFonts w:hint="eastAsia" w:ascii="宋体" w:hAnsi="宋体"/>
                <w:color w:val="auto"/>
                <w:kern w:val="0"/>
                <w:sz w:val="21"/>
                <w:szCs w:val="21"/>
                <w:highlight w:val="none"/>
              </w:rPr>
              <w:t>0万元的网络安全设备升级服务项目</w:t>
            </w:r>
            <w:r>
              <w:rPr>
                <w:rFonts w:hint="eastAsia" w:ascii="宋体" w:hAnsi="宋体"/>
                <w:color w:val="auto"/>
                <w:kern w:val="0"/>
                <w:sz w:val="21"/>
                <w:szCs w:val="21"/>
                <w:highlight w:val="none"/>
                <w:lang w:val="en-US" w:eastAsia="zh-CN"/>
              </w:rPr>
              <w:t>或</w:t>
            </w:r>
            <w:r>
              <w:rPr>
                <w:rFonts w:hint="eastAsia" w:ascii="宋体" w:hAnsi="宋体"/>
                <w:color w:val="auto"/>
                <w:kern w:val="0"/>
                <w:sz w:val="21"/>
                <w:szCs w:val="21"/>
                <w:highlight w:val="none"/>
              </w:rPr>
              <w:t>1项合同金额不少于</w:t>
            </w: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0万元的</w:t>
            </w:r>
            <w:r>
              <w:rPr>
                <w:rFonts w:hint="eastAsia" w:ascii="宋体" w:hAnsi="宋体"/>
                <w:color w:val="auto"/>
                <w:kern w:val="0"/>
                <w:sz w:val="21"/>
                <w:szCs w:val="21"/>
                <w:highlight w:val="none"/>
                <w:lang w:val="en-US" w:eastAsia="zh-CN"/>
              </w:rPr>
              <w:t>网络安全运维服务项目</w:t>
            </w:r>
            <w:r>
              <w:rPr>
                <w:rFonts w:hint="eastAsia" w:ascii="宋体" w:hAnsi="宋体"/>
                <w:color w:val="auto"/>
                <w:kern w:val="0"/>
                <w:sz w:val="21"/>
                <w:szCs w:val="21"/>
                <w:highlight w:val="none"/>
              </w:rPr>
              <w:t>业绩。</w:t>
            </w:r>
          </w:p>
        </w:tc>
      </w:tr>
    </w:tbl>
    <w:p w14:paraId="559869DB">
      <w:pPr>
        <w:rPr>
          <w:rFonts w:ascii="宋体" w:hAnsi="宋体"/>
          <w:color w:val="auto"/>
          <w:sz w:val="24"/>
          <w:szCs w:val="24"/>
          <w:highlight w:val="none"/>
        </w:rPr>
      </w:pPr>
    </w:p>
    <w:p w14:paraId="3884E1CC">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1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68F0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5A6A8315">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信誉要求</w:t>
            </w:r>
          </w:p>
        </w:tc>
      </w:tr>
      <w:tr w14:paraId="0AA0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1A0CB54D">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 w:val="21"/>
                <w:szCs w:val="21"/>
                <w:highlight w:val="none"/>
                <w:lang w:eastAsia="zh-CN"/>
              </w:rPr>
            </w:pPr>
            <w:r>
              <w:rPr>
                <w:rFonts w:hint="eastAsia" w:ascii="宋体" w:hAnsi="宋体"/>
                <w:color w:val="auto"/>
                <w:kern w:val="0"/>
                <w:sz w:val="21"/>
                <w:szCs w:val="21"/>
                <w:highlight w:val="none"/>
              </w:rPr>
              <w:t>投标人在过去1年中（</w:t>
            </w:r>
            <w:r>
              <w:rPr>
                <w:rFonts w:hint="eastAsia" w:ascii="宋体" w:hAnsi="宋体"/>
                <w:color w:val="auto"/>
                <w:kern w:val="0"/>
                <w:sz w:val="21"/>
                <w:szCs w:val="21"/>
                <w:highlight w:val="none"/>
                <w:lang w:eastAsia="zh-CN"/>
              </w:rPr>
              <w:t>2025</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3月</w:t>
            </w:r>
            <w:r>
              <w:rPr>
                <w:rFonts w:hint="eastAsia" w:ascii="宋体" w:hAnsi="宋体"/>
                <w:color w:val="auto"/>
                <w:kern w:val="0"/>
                <w:sz w:val="21"/>
                <w:szCs w:val="21"/>
                <w:highlight w:val="none"/>
              </w:rPr>
              <w:t>1日至投标截止时间）不曾在</w:t>
            </w:r>
            <w:r>
              <w:rPr>
                <w:rFonts w:hint="eastAsia" w:ascii="宋体" w:hAnsi="宋体"/>
                <w:color w:val="auto"/>
                <w:kern w:val="0"/>
                <w:sz w:val="21"/>
                <w:szCs w:val="21"/>
                <w:highlight w:val="none"/>
                <w:lang w:val="en-US" w:eastAsia="zh-CN"/>
              </w:rPr>
              <w:t>网络安全服务</w:t>
            </w:r>
            <w:r>
              <w:rPr>
                <w:rFonts w:hint="eastAsia" w:ascii="宋体" w:hAnsi="宋体"/>
                <w:color w:val="auto"/>
                <w:kern w:val="0"/>
                <w:sz w:val="21"/>
                <w:szCs w:val="21"/>
                <w:highlight w:val="none"/>
              </w:rPr>
              <w:t>合同中违约而被逐或因投标人自身的原因而使合同被解除。</w:t>
            </w:r>
          </w:p>
        </w:tc>
      </w:tr>
    </w:tbl>
    <w:p w14:paraId="466BB3A4">
      <w:pPr>
        <w:rPr>
          <w:rFonts w:ascii="宋体" w:hAnsi="宋体"/>
          <w:color w:val="auto"/>
          <w:sz w:val="24"/>
          <w:szCs w:val="24"/>
          <w:highlight w:val="none"/>
        </w:rPr>
      </w:pPr>
    </w:p>
    <w:p w14:paraId="23CF765A">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项目负责人</w:t>
      </w:r>
      <w:r>
        <w:rPr>
          <w:rFonts w:hint="eastAsia" w:ascii="宋体" w:hAnsi="宋体"/>
          <w:b/>
          <w:color w:val="auto"/>
          <w:sz w:val="24"/>
          <w:szCs w:val="24"/>
          <w:highlight w:val="none"/>
        </w:rPr>
        <w:t>最低要求）</w:t>
      </w:r>
    </w:p>
    <w:tbl>
      <w:tblPr>
        <w:tblStyle w:val="11"/>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67F8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2B56DBF9">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人员</w:t>
            </w:r>
          </w:p>
        </w:tc>
        <w:tc>
          <w:tcPr>
            <w:tcW w:w="810" w:type="dxa"/>
            <w:vAlign w:val="center"/>
          </w:tcPr>
          <w:p w14:paraId="08A8A989">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数量</w:t>
            </w:r>
          </w:p>
        </w:tc>
        <w:tc>
          <w:tcPr>
            <w:tcW w:w="6521" w:type="dxa"/>
            <w:vAlign w:val="center"/>
          </w:tcPr>
          <w:p w14:paraId="1D3B3001">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资格要求</w:t>
            </w:r>
          </w:p>
        </w:tc>
      </w:tr>
      <w:tr w14:paraId="102A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40" w:type="dxa"/>
            <w:vAlign w:val="center"/>
          </w:tcPr>
          <w:p w14:paraId="1FFAB410">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项目负责人</w:t>
            </w:r>
          </w:p>
        </w:tc>
        <w:tc>
          <w:tcPr>
            <w:tcW w:w="810" w:type="dxa"/>
            <w:vAlign w:val="center"/>
          </w:tcPr>
          <w:p w14:paraId="63D009A1">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6521" w:type="dxa"/>
            <w:vAlign w:val="center"/>
          </w:tcPr>
          <w:p w14:paraId="5566A855">
            <w:pPr>
              <w:keepNext w:val="0"/>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lang w:eastAsia="zh-CN"/>
              </w:rPr>
            </w:pPr>
            <w:r>
              <w:rPr>
                <w:rFonts w:hint="eastAsia" w:ascii="宋体" w:hAnsi="宋体"/>
                <w:color w:val="auto"/>
                <w:sz w:val="21"/>
                <w:szCs w:val="21"/>
                <w:highlight w:val="none"/>
                <w:lang w:val="en-US" w:eastAsia="zh-CN"/>
              </w:rPr>
              <w:t>具备CISP证书(中国信息安全测评中心注册信息安全专业人员)。</w:t>
            </w:r>
          </w:p>
          <w:p w14:paraId="1617D26D">
            <w:pPr>
              <w:keepNext w:val="0"/>
              <w:keepLines w:val="0"/>
              <w:suppressLineNumbers w:val="0"/>
              <w:spacing w:before="0" w:beforeAutospacing="0" w:after="0" w:afterAutospacing="0"/>
              <w:ind w:left="0" w:right="0"/>
              <w:jc w:val="left"/>
              <w:rPr>
                <w:rFonts w:hint="eastAsia" w:eastAsia="宋体"/>
                <w:color w:val="auto"/>
                <w:sz w:val="21"/>
                <w:szCs w:val="21"/>
                <w:highlight w:val="none"/>
                <w:lang w:eastAsia="zh-CN"/>
              </w:rPr>
            </w:pPr>
            <w:r>
              <w:rPr>
                <w:rFonts w:hint="eastAsia" w:ascii="宋体" w:hAnsi="宋体" w:eastAsia="宋体" w:cs="Times New Roman"/>
                <w:color w:val="auto"/>
                <w:kern w:val="0"/>
                <w:sz w:val="21"/>
                <w:szCs w:val="21"/>
                <w:highlight w:val="none"/>
              </w:rPr>
              <w:t>近</w:t>
            </w:r>
            <w:r>
              <w:rPr>
                <w:rFonts w:hint="eastAsia" w:ascii="宋体" w:hAnsi="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rPr>
              <w:t>年</w:t>
            </w:r>
            <w:r>
              <w:rPr>
                <w:rFonts w:hint="eastAsia" w:ascii="宋体" w:hAnsi="宋体"/>
                <w:color w:val="auto"/>
                <w:sz w:val="21"/>
                <w:szCs w:val="21"/>
                <w:highlight w:val="none"/>
              </w:rPr>
              <w:t>（</w:t>
            </w:r>
            <w:r>
              <w:rPr>
                <w:rFonts w:hint="eastAsia" w:ascii="宋体" w:hAnsi="宋体"/>
                <w:color w:val="auto"/>
                <w:sz w:val="21"/>
                <w:szCs w:val="21"/>
                <w:highlight w:val="none"/>
                <w:lang w:eastAsia="zh-CN"/>
              </w:rPr>
              <w:t>2023年</w:t>
            </w:r>
            <w:r>
              <w:rPr>
                <w:rFonts w:hint="eastAsia" w:ascii="宋体" w:hAnsi="宋体"/>
                <w:color w:val="auto"/>
                <w:sz w:val="21"/>
                <w:szCs w:val="21"/>
                <w:highlight w:val="none"/>
                <w:lang w:val="en-US" w:eastAsia="zh-CN"/>
              </w:rPr>
              <w:t>3月</w:t>
            </w:r>
            <w:r>
              <w:rPr>
                <w:rFonts w:hint="eastAsia" w:ascii="宋体" w:hAnsi="宋体"/>
                <w:color w:val="auto"/>
                <w:sz w:val="21"/>
                <w:szCs w:val="21"/>
                <w:highlight w:val="none"/>
                <w:lang w:eastAsia="zh-CN"/>
              </w:rPr>
              <w:t>1日</w:t>
            </w:r>
            <w:r>
              <w:rPr>
                <w:rFonts w:hint="eastAsia" w:ascii="宋体" w:hAnsi="宋体"/>
                <w:color w:val="auto"/>
                <w:sz w:val="21"/>
                <w:szCs w:val="21"/>
                <w:highlight w:val="none"/>
              </w:rPr>
              <w:t>至投标截止时间，以合同签订时间为准）至少担任过1项</w:t>
            </w:r>
            <w:r>
              <w:rPr>
                <w:rFonts w:hint="eastAsia" w:ascii="宋体" w:hAnsi="宋体"/>
                <w:color w:val="auto"/>
                <w:sz w:val="21"/>
                <w:szCs w:val="21"/>
                <w:highlight w:val="none"/>
                <w:lang w:val="en-US" w:eastAsia="zh-CN"/>
              </w:rPr>
              <w:t>合同金额不少于40万元的</w:t>
            </w:r>
            <w:r>
              <w:rPr>
                <w:rFonts w:hint="eastAsia" w:ascii="宋体" w:hAnsi="宋体"/>
                <w:color w:val="auto"/>
                <w:sz w:val="21"/>
                <w:szCs w:val="21"/>
                <w:highlight w:val="none"/>
              </w:rPr>
              <w:t>网络安全</w:t>
            </w:r>
            <w:r>
              <w:rPr>
                <w:rFonts w:hint="eastAsia" w:ascii="宋体" w:hAnsi="宋体"/>
                <w:color w:val="auto"/>
                <w:sz w:val="21"/>
                <w:szCs w:val="21"/>
                <w:highlight w:val="none"/>
                <w:lang w:val="en-US" w:eastAsia="zh-CN"/>
              </w:rPr>
              <w:t>设备升级</w:t>
            </w:r>
            <w:r>
              <w:rPr>
                <w:rFonts w:hint="eastAsia" w:ascii="宋体" w:hAnsi="宋体"/>
                <w:color w:val="auto"/>
                <w:sz w:val="21"/>
                <w:szCs w:val="21"/>
                <w:highlight w:val="none"/>
              </w:rPr>
              <w:t>服务</w:t>
            </w:r>
            <w:r>
              <w:rPr>
                <w:rFonts w:hint="eastAsia" w:ascii="宋体" w:hAnsi="宋体"/>
                <w:color w:val="auto"/>
                <w:sz w:val="21"/>
                <w:szCs w:val="21"/>
                <w:highlight w:val="none"/>
                <w:lang w:val="en-US" w:eastAsia="zh-CN"/>
              </w:rPr>
              <w:t>项目或</w:t>
            </w:r>
            <w:r>
              <w:rPr>
                <w:rFonts w:hint="eastAsia" w:ascii="宋体" w:hAnsi="宋体"/>
                <w:color w:val="auto"/>
                <w:kern w:val="0"/>
                <w:sz w:val="21"/>
                <w:szCs w:val="21"/>
                <w:highlight w:val="none"/>
              </w:rPr>
              <w:t>1项合同金额不少于</w:t>
            </w: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0万元的</w:t>
            </w:r>
            <w:r>
              <w:rPr>
                <w:rFonts w:hint="eastAsia" w:ascii="宋体" w:hAnsi="宋体"/>
                <w:color w:val="auto"/>
                <w:sz w:val="21"/>
                <w:szCs w:val="21"/>
                <w:highlight w:val="none"/>
                <w:lang w:val="en-US" w:eastAsia="zh-CN"/>
              </w:rPr>
              <w:t>网络安全运维服务项目</w:t>
            </w:r>
            <w:r>
              <w:rPr>
                <w:rFonts w:hint="eastAsia" w:ascii="宋体" w:hAnsi="宋体"/>
                <w:color w:val="auto"/>
                <w:sz w:val="21"/>
                <w:szCs w:val="21"/>
                <w:highlight w:val="none"/>
              </w:rPr>
              <w:t>的项目负责人</w:t>
            </w:r>
            <w:r>
              <w:rPr>
                <w:rFonts w:hint="eastAsia" w:ascii="宋体" w:hAnsi="宋体"/>
                <w:color w:val="auto"/>
                <w:sz w:val="21"/>
                <w:szCs w:val="21"/>
                <w:highlight w:val="none"/>
                <w:lang w:eastAsia="zh-CN"/>
              </w:rPr>
              <w:t>（</w:t>
            </w:r>
            <w:r>
              <w:rPr>
                <w:rFonts w:hint="eastAsia" w:ascii="宋体" w:hAnsi="宋体"/>
                <w:color w:val="auto"/>
                <w:sz w:val="21"/>
                <w:szCs w:val="21"/>
                <w:highlight w:val="none"/>
              </w:rPr>
              <w:t>或技术负责人</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p>
        </w:tc>
      </w:tr>
    </w:tbl>
    <w:p w14:paraId="527FD5E9">
      <w:pPr>
        <w:snapToGrid w:val="0"/>
        <w:spacing w:before="156" w:beforeLines="50" w:after="156" w:afterLines="50" w:line="240" w:lineRule="auto"/>
        <w:outlineLvl w:val="9"/>
        <w:rPr>
          <w:rFonts w:ascii="黑体" w:eastAsia="黑体"/>
          <w:color w:val="auto"/>
          <w:spacing w:val="-8"/>
          <w:sz w:val="24"/>
          <w:szCs w:val="24"/>
          <w:highlight w:val="none"/>
        </w:rPr>
        <w:sectPr>
          <w:footerReference r:id="rId5" w:type="first"/>
          <w:headerReference r:id="rId3" w:type="default"/>
          <w:footerReference r:id="rId4" w:type="default"/>
          <w:pgSz w:w="11906" w:h="16838"/>
          <w:pgMar w:top="1361" w:right="1304" w:bottom="1361" w:left="1361" w:header="851" w:footer="992" w:gutter="0"/>
          <w:pgNumType w:fmt="decimal"/>
          <w:cols w:space="720" w:num="1"/>
          <w:docGrid w:type="lines" w:linePitch="312" w:charSpace="0"/>
        </w:sectPr>
      </w:pPr>
      <w:r>
        <w:rPr>
          <w:rFonts w:ascii="黑体" w:hAnsi="宋体" w:eastAsia="黑体" w:cs="宋体"/>
          <w:b/>
          <w:bCs/>
          <w:color w:val="auto"/>
          <w:spacing w:val="-8"/>
          <w:sz w:val="24"/>
          <w:szCs w:val="24"/>
          <w:highlight w:val="none"/>
          <w:lang w:val="en-US" w:eastAsia="en-US" w:bidi="ar-SA"/>
        </w:rPr>
        <w:br w:type="page"/>
      </w:r>
      <w:bookmarkStart w:id="1" w:name="_Toc24234"/>
    </w:p>
    <w:bookmarkEnd w:id="1"/>
    <w:p w14:paraId="1FE72C96">
      <w:pPr>
        <w:keepNext/>
        <w:widowControl/>
        <w:snapToGrid w:val="0"/>
        <w:spacing w:before="156" w:beforeLines="50" w:after="156" w:afterLines="50" w:line="240" w:lineRule="auto"/>
        <w:ind w:left="138"/>
        <w:jc w:val="left"/>
        <w:outlineLvl w:val="2"/>
        <w:rPr>
          <w:rFonts w:ascii="宋体" w:hAnsi="宋体" w:eastAsia="宋体" w:cs="宋体"/>
          <w:b/>
          <w:bCs/>
          <w:color w:val="auto"/>
          <w:sz w:val="28"/>
          <w:szCs w:val="28"/>
          <w:highlight w:val="none"/>
          <w:lang w:val="en-US" w:eastAsia="en-US" w:bidi="ar-SA"/>
        </w:rPr>
      </w:pPr>
      <w:r>
        <w:rPr>
          <w:rFonts w:ascii="宋体" w:hAnsi="宋体" w:eastAsia="宋体" w:cs="宋体"/>
          <w:b/>
          <w:bCs/>
          <w:color w:val="auto"/>
          <w:spacing w:val="-6"/>
          <w:sz w:val="28"/>
          <w:szCs w:val="28"/>
          <w:highlight w:val="none"/>
          <w:lang w:val="en-US" w:eastAsia="en-US" w:bidi="ar-SA"/>
        </w:rPr>
        <w:t>附件</w:t>
      </w:r>
      <w:r>
        <w:rPr>
          <w:rFonts w:hint="eastAsia" w:ascii="Times New Roman" w:hAnsi="Times New Roman" w:eastAsia="宋体" w:cs="Times New Roman"/>
          <w:b/>
          <w:bCs/>
          <w:color w:val="auto"/>
          <w:spacing w:val="-6"/>
          <w:sz w:val="28"/>
          <w:szCs w:val="28"/>
          <w:highlight w:val="none"/>
          <w:lang w:val="en-US" w:eastAsia="zh-CN" w:bidi="ar-SA"/>
        </w:rPr>
        <w:t>2</w:t>
      </w:r>
      <w:r>
        <w:rPr>
          <w:rFonts w:ascii="宋体" w:hAnsi="宋体" w:eastAsia="宋体" w:cs="宋体"/>
          <w:b/>
          <w:bCs/>
          <w:color w:val="auto"/>
          <w:spacing w:val="-6"/>
          <w:sz w:val="28"/>
          <w:szCs w:val="28"/>
          <w:highlight w:val="none"/>
          <w:lang w:val="en-US" w:eastAsia="en-US" w:bidi="ar-SA"/>
        </w:rPr>
        <w:t>：评标办法</w:t>
      </w:r>
    </w:p>
    <w:p w14:paraId="4EE1BFB0">
      <w:pPr>
        <w:spacing w:before="203" w:line="218" w:lineRule="auto"/>
        <w:ind w:left="356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评标办法（</w:t>
      </w:r>
      <w:r>
        <w:rPr>
          <w:rFonts w:hint="eastAsia" w:ascii="宋体" w:hAnsi="宋体" w:cs="宋体"/>
          <w:b/>
          <w:bCs/>
          <w:color w:val="auto"/>
          <w:spacing w:val="-3"/>
          <w:sz w:val="24"/>
          <w:szCs w:val="24"/>
          <w:highlight w:val="none"/>
          <w:lang w:eastAsia="zh-CN"/>
        </w:rPr>
        <w:t>综合评估法</w:t>
      </w:r>
      <w:r>
        <w:rPr>
          <w:rFonts w:ascii="宋体" w:hAnsi="宋体" w:eastAsia="宋体" w:cs="宋体"/>
          <w:b/>
          <w:bCs/>
          <w:color w:val="auto"/>
          <w:spacing w:val="-3"/>
          <w:sz w:val="24"/>
          <w:szCs w:val="24"/>
          <w:highlight w:val="none"/>
        </w:rPr>
        <w:t>）</w:t>
      </w:r>
    </w:p>
    <w:p w14:paraId="693D7463">
      <w:pPr>
        <w:spacing w:before="181" w:line="219" w:lineRule="auto"/>
        <w:ind w:left="11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评标办法前附表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444"/>
        <w:gridCol w:w="7213"/>
        <w:gridCol w:w="4"/>
      </w:tblGrid>
      <w:tr w14:paraId="75DB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252" w:type="pct"/>
            <w:gridSpan w:val="2"/>
            <w:vAlign w:val="center"/>
          </w:tcPr>
          <w:p w14:paraId="49BC160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747" w:type="pct"/>
            <w:gridSpan w:val="2"/>
            <w:vAlign w:val="center"/>
          </w:tcPr>
          <w:p w14:paraId="6148D8D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14:paraId="419F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90" w:hRule="atLeast"/>
        </w:trPr>
        <w:tc>
          <w:tcPr>
            <w:tcW w:w="502" w:type="pct"/>
            <w:vAlign w:val="center"/>
          </w:tcPr>
          <w:p w14:paraId="2C85EF5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9" w:type="pct"/>
            <w:vAlign w:val="center"/>
          </w:tcPr>
          <w:p w14:paraId="7301E91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746" w:type="pct"/>
            <w:vAlign w:val="center"/>
          </w:tcPr>
          <w:p w14:paraId="6F5CA20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32A5F32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14:paraId="4247D74B">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14:paraId="1F15F8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14:paraId="14D3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5975" w:hRule="atLeast"/>
        </w:trPr>
        <w:tc>
          <w:tcPr>
            <w:tcW w:w="502" w:type="pct"/>
            <w:vAlign w:val="center"/>
          </w:tcPr>
          <w:p w14:paraId="7300114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14:paraId="541504C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749" w:type="pct"/>
            <w:vAlign w:val="center"/>
          </w:tcPr>
          <w:p w14:paraId="355ADC8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746" w:type="pct"/>
            <w:vAlign w:val="top"/>
          </w:tcPr>
          <w:p w14:paraId="471DF79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4C225E7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14:paraId="753B071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w:t>
            </w:r>
            <w:r>
              <w:rPr>
                <w:rFonts w:hint="eastAsia" w:ascii="宋体" w:hAnsi="宋体" w:eastAsia="宋体" w:cs="宋体"/>
                <w:bCs/>
                <w:color w:val="auto"/>
                <w:sz w:val="21"/>
                <w:szCs w:val="21"/>
                <w:highlight w:val="none"/>
              </w:rPr>
              <w:t>；</w:t>
            </w:r>
          </w:p>
          <w:p w14:paraId="2EA62E6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14:paraId="78CD466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43915E5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14:paraId="53E66C6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（4）投标人法定代表人授权委托代理人签署投标文件的，须提交授权委托书，</w:t>
            </w:r>
            <w:r>
              <w:rPr>
                <w:rFonts w:hint="eastAsia" w:ascii="宋体" w:hAnsi="宋体" w:eastAsia="宋体" w:cs="宋体"/>
                <w:bCs/>
                <w:color w:val="auto"/>
                <w:sz w:val="21"/>
                <w:szCs w:val="21"/>
                <w:highlight w:val="none"/>
                <w:lang w:val="en-US" w:eastAsia="zh-CN"/>
              </w:rPr>
              <w:t>授权委托书的签字盖章符合招标文件规定</w:t>
            </w:r>
            <w:r>
              <w:rPr>
                <w:rFonts w:hint="eastAsia" w:ascii="宋体" w:hAnsi="宋体" w:eastAsia="宋体" w:cs="宋体"/>
                <w:bCs/>
                <w:color w:val="auto"/>
                <w:sz w:val="21"/>
                <w:szCs w:val="21"/>
                <w:highlight w:val="none"/>
                <w:lang w:eastAsia="zh-CN"/>
              </w:rPr>
              <w:t>。</w:t>
            </w:r>
          </w:p>
          <w:p w14:paraId="4A46B28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（5）投标人法定代表人亲自签署投标文件的，提供了法定代表人身份证明，并符合招标文件的规定。</w:t>
            </w:r>
          </w:p>
          <w:p w14:paraId="780C490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）投标人未以联合体形式投标。</w:t>
            </w:r>
          </w:p>
          <w:p w14:paraId="74A1B05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14:paraId="4298127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）同一投标人未提交两个以上不同的投标文件。</w:t>
            </w:r>
          </w:p>
          <w:p w14:paraId="6A8F032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）投标文件第一信封中未出现有关投标报价的内容。</w:t>
            </w:r>
          </w:p>
          <w:p w14:paraId="796DCB2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）投标文件载明的招标项目完成期限未超过招标文件规定。</w:t>
            </w:r>
          </w:p>
          <w:p w14:paraId="23BB3A2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）投标文件对招标文件的实质性要求和条件作出响应。</w:t>
            </w:r>
          </w:p>
          <w:p w14:paraId="4582259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0EDA29B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572CE8D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6B8AF95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14:paraId="045BE5B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47DCAD3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58C042B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36E7FF0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）投标人不存在投标人须知前附表4.4(1)、(3)项规定的情形</w:t>
            </w:r>
            <w:r>
              <w:rPr>
                <w:rFonts w:hint="eastAsia" w:ascii="宋体" w:hAnsi="宋体" w:eastAsia="宋体" w:cs="宋体"/>
                <w:color w:val="auto"/>
                <w:sz w:val="21"/>
                <w:szCs w:val="21"/>
                <w:highlight w:val="none"/>
                <w:lang w:eastAsia="zh-CN"/>
              </w:rPr>
              <w:t>。</w:t>
            </w:r>
          </w:p>
          <w:p w14:paraId="0628411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eastAsia="宋体"/>
                <w:color w:val="auto"/>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存在</w:t>
            </w:r>
            <w:r>
              <w:rPr>
                <w:rFonts w:hint="eastAsia" w:ascii="宋体" w:hAnsi="宋体" w:cs="宋体"/>
                <w:color w:val="auto"/>
                <w:sz w:val="21"/>
                <w:szCs w:val="21"/>
                <w:highlight w:val="none"/>
                <w:lang w:val="en-US" w:eastAsia="zh-CN"/>
              </w:rPr>
              <w:t>因</w:t>
            </w:r>
            <w:r>
              <w:rPr>
                <w:rFonts w:hint="eastAsia" w:ascii="宋体" w:hAnsi="宋体" w:eastAsia="宋体" w:cs="宋体"/>
                <w:color w:val="auto"/>
                <w:sz w:val="21"/>
                <w:szCs w:val="21"/>
                <w:highlight w:val="none"/>
              </w:rPr>
              <w:t>投标人须知前附表4.4(2)项规定的情形</w:t>
            </w:r>
            <w:r>
              <w:rPr>
                <w:rFonts w:hint="eastAsia" w:ascii="宋体" w:hAnsi="宋体" w:eastAsia="宋体" w:cs="宋体"/>
                <w:color w:val="auto"/>
                <w:sz w:val="21"/>
                <w:szCs w:val="21"/>
                <w:highlight w:val="none"/>
                <w:lang w:val="en-US" w:eastAsia="zh-CN"/>
              </w:rPr>
              <w:t>被评标委员会认定</w:t>
            </w:r>
            <w:r>
              <w:rPr>
                <w:rFonts w:hint="eastAsia" w:ascii="宋体" w:hAnsi="宋体" w:cs="宋体"/>
                <w:color w:val="auto"/>
                <w:sz w:val="21"/>
                <w:szCs w:val="21"/>
                <w:highlight w:val="none"/>
              </w:rPr>
              <w:t>投标文件异常一致或投标活动异常关联活动情形</w:t>
            </w:r>
            <w:r>
              <w:rPr>
                <w:rFonts w:hint="eastAsia" w:ascii="宋体" w:hAnsi="宋体" w:cs="宋体"/>
                <w:color w:val="auto"/>
                <w:sz w:val="21"/>
                <w:szCs w:val="21"/>
                <w:highlight w:val="none"/>
                <w:lang w:eastAsia="zh-CN"/>
              </w:rPr>
              <w:t>。</w:t>
            </w:r>
          </w:p>
          <w:p w14:paraId="16B967C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5CE9C5E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14:paraId="5737D24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补遗书编号（如有）、投标价（包括大写金额和小写金额）；</w:t>
            </w:r>
          </w:p>
          <w:p w14:paraId="27A121D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b.项目服务清单说明文字与招标文件规定一致，未进行实质性修改和删减；</w:t>
            </w:r>
          </w:p>
          <w:p w14:paraId="5F5361F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c</w:t>
            </w:r>
            <w:r>
              <w:rPr>
                <w:rFonts w:hint="eastAsia" w:ascii="宋体" w:hAnsi="宋体" w:eastAsia="宋体" w:cs="宋体"/>
                <w:bCs/>
                <w:color w:val="auto"/>
                <w:sz w:val="21"/>
                <w:szCs w:val="21"/>
                <w:highlight w:val="none"/>
              </w:rPr>
              <w:t>．投标文件组成齐全完整，内容均按规定填写。</w:t>
            </w:r>
          </w:p>
          <w:p w14:paraId="1D94C91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29ECBDF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14:paraId="55A60E7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14:paraId="459F741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14:paraId="3F2541E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en-US"/>
              </w:rPr>
              <w:t>（6）</w:t>
            </w:r>
            <w:r>
              <w:rPr>
                <w:rFonts w:hint="eastAsia" w:ascii="宋体" w:hAnsi="宋体" w:eastAsia="宋体" w:cs="宋体"/>
                <w:bCs/>
                <w:color w:val="auto"/>
                <w:sz w:val="21"/>
                <w:szCs w:val="21"/>
                <w:highlight w:val="none"/>
                <w:lang w:val="en-US" w:eastAsia="zh-CN"/>
              </w:rPr>
              <w:t>项目服务清单表</w:t>
            </w:r>
            <w:r>
              <w:rPr>
                <w:rFonts w:hint="eastAsia" w:ascii="宋体" w:hAnsi="宋体" w:eastAsia="宋体" w:cs="宋体"/>
                <w:bCs/>
                <w:color w:val="auto"/>
                <w:sz w:val="21"/>
                <w:szCs w:val="21"/>
                <w:highlight w:val="none"/>
                <w:lang w:val="en-US" w:eastAsia="en-US"/>
              </w:rPr>
              <w:t>中投标</w:t>
            </w:r>
            <w:r>
              <w:rPr>
                <w:rFonts w:hint="eastAsia" w:ascii="宋体" w:hAnsi="宋体" w:cs="宋体"/>
                <w:bCs/>
                <w:color w:val="auto"/>
                <w:sz w:val="21"/>
                <w:szCs w:val="21"/>
                <w:highlight w:val="none"/>
                <w:lang w:val="en-US" w:eastAsia="zh-CN"/>
              </w:rPr>
              <w:t>总</w:t>
            </w:r>
            <w:r>
              <w:rPr>
                <w:rFonts w:hint="eastAsia" w:ascii="宋体" w:hAnsi="宋体" w:eastAsia="宋体" w:cs="宋体"/>
                <w:bCs/>
                <w:color w:val="auto"/>
                <w:sz w:val="21"/>
                <w:szCs w:val="21"/>
                <w:highlight w:val="none"/>
                <w:lang w:val="en-US" w:eastAsia="en-US"/>
              </w:rPr>
              <w:t>报价与投标函</w:t>
            </w:r>
            <w:r>
              <w:rPr>
                <w:rFonts w:hint="eastAsia" w:ascii="宋体" w:hAnsi="宋体" w:cs="宋体"/>
                <w:bCs/>
                <w:color w:val="auto"/>
                <w:sz w:val="21"/>
                <w:szCs w:val="21"/>
                <w:highlight w:val="none"/>
                <w:lang w:val="en-US" w:eastAsia="zh-CN"/>
              </w:rPr>
              <w:t>总报价</w:t>
            </w:r>
            <w:r>
              <w:rPr>
                <w:rFonts w:hint="eastAsia" w:ascii="宋体" w:hAnsi="宋体" w:eastAsia="宋体" w:cs="宋体"/>
                <w:bCs/>
                <w:color w:val="auto"/>
                <w:sz w:val="21"/>
                <w:szCs w:val="21"/>
                <w:highlight w:val="none"/>
                <w:lang w:val="en-US" w:eastAsia="en-US"/>
              </w:rPr>
              <w:t>大写金额一致。</w:t>
            </w:r>
          </w:p>
          <w:p w14:paraId="3DD7BF9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）投标人未提交调价函。</w:t>
            </w:r>
          </w:p>
          <w:p w14:paraId="05B7B49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投标人不存在投标人须知前附表4.4(1)、(3)项规定的情形</w:t>
            </w:r>
            <w:r>
              <w:rPr>
                <w:rFonts w:hint="eastAsia" w:ascii="宋体" w:hAnsi="宋体" w:eastAsia="宋体" w:cs="宋体"/>
                <w:bCs/>
                <w:color w:val="auto"/>
                <w:sz w:val="21"/>
                <w:szCs w:val="21"/>
                <w:highlight w:val="none"/>
                <w:lang w:eastAsia="zh-CN"/>
              </w:rPr>
              <w:t>。</w:t>
            </w:r>
          </w:p>
          <w:p w14:paraId="7D62EA9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）投标人不存在</w:t>
            </w:r>
            <w:r>
              <w:rPr>
                <w:rFonts w:hint="eastAsia" w:ascii="宋体" w:hAnsi="宋体" w:eastAsia="宋体" w:cs="宋体"/>
                <w:bCs/>
                <w:color w:val="auto"/>
                <w:sz w:val="21"/>
                <w:szCs w:val="21"/>
                <w:highlight w:val="none"/>
                <w:lang w:val="en-US" w:eastAsia="zh-CN"/>
              </w:rPr>
              <w:t>因</w:t>
            </w:r>
            <w:r>
              <w:rPr>
                <w:rFonts w:hint="eastAsia" w:ascii="宋体" w:hAnsi="宋体" w:eastAsia="宋体" w:cs="宋体"/>
                <w:bCs/>
                <w:color w:val="auto"/>
                <w:sz w:val="21"/>
                <w:szCs w:val="21"/>
                <w:highlight w:val="none"/>
              </w:rPr>
              <w:t>投标人须知前附表4.4(2)项规定的情形</w:t>
            </w:r>
            <w:r>
              <w:rPr>
                <w:rFonts w:hint="eastAsia" w:ascii="宋体" w:hAnsi="宋体" w:eastAsia="宋体" w:cs="宋体"/>
                <w:bCs/>
                <w:color w:val="auto"/>
                <w:sz w:val="21"/>
                <w:szCs w:val="21"/>
                <w:highlight w:val="none"/>
                <w:lang w:val="en-US" w:eastAsia="zh-CN"/>
              </w:rPr>
              <w:t>被评标委员会认定为</w:t>
            </w:r>
            <w:r>
              <w:rPr>
                <w:rFonts w:hint="eastAsia" w:ascii="宋体" w:hAnsi="宋体" w:cs="宋体"/>
                <w:color w:val="auto"/>
                <w:sz w:val="21"/>
                <w:szCs w:val="21"/>
                <w:highlight w:val="none"/>
              </w:rPr>
              <w:t>投标文件异常一致或投标活动异常关联活动情形</w:t>
            </w:r>
            <w:r>
              <w:rPr>
                <w:rFonts w:hint="eastAsia" w:ascii="宋体" w:hAnsi="宋体" w:eastAsia="宋体" w:cs="宋体"/>
                <w:bCs/>
                <w:color w:val="auto"/>
                <w:sz w:val="21"/>
                <w:szCs w:val="21"/>
                <w:highlight w:val="none"/>
                <w:lang w:val="en-US" w:eastAsia="zh-CN"/>
              </w:rPr>
              <w:t>。</w:t>
            </w:r>
          </w:p>
          <w:p w14:paraId="6229468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lang w:val="en-US" w:eastAsia="zh-CN"/>
              </w:rPr>
              <w:t>未</w:t>
            </w:r>
            <w:r>
              <w:rPr>
                <w:rFonts w:hint="eastAsia" w:ascii="宋体" w:hAnsi="宋体" w:eastAsia="宋体" w:cs="宋体"/>
                <w:bCs/>
                <w:color w:val="auto"/>
                <w:sz w:val="21"/>
                <w:szCs w:val="21"/>
                <w:highlight w:val="none"/>
                <w:lang w:eastAsia="zh-CN"/>
              </w:rPr>
              <w:t>被评标委员会认定为低于成本或</w:t>
            </w:r>
            <w:r>
              <w:rPr>
                <w:rFonts w:hint="eastAsia" w:ascii="宋体" w:hAnsi="宋体" w:eastAsia="宋体" w:cs="宋体"/>
                <w:bCs/>
                <w:color w:val="auto"/>
                <w:sz w:val="21"/>
                <w:szCs w:val="21"/>
                <w:highlight w:val="none"/>
                <w:lang w:val="en-US" w:eastAsia="zh-CN"/>
              </w:rPr>
              <w:t>影</w:t>
            </w:r>
            <w:r>
              <w:rPr>
                <w:rFonts w:hint="eastAsia" w:ascii="宋体" w:hAnsi="宋体" w:eastAsia="宋体" w:cs="宋体"/>
                <w:bCs/>
                <w:color w:val="auto"/>
                <w:sz w:val="21"/>
                <w:szCs w:val="21"/>
                <w:highlight w:val="none"/>
                <w:lang w:eastAsia="zh-CN"/>
              </w:rPr>
              <w:t>响履约的异常低价竟标的情形。</w:t>
            </w:r>
          </w:p>
        </w:tc>
      </w:tr>
      <w:tr w14:paraId="00B4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90" w:hRule="atLeast"/>
        </w:trPr>
        <w:tc>
          <w:tcPr>
            <w:tcW w:w="502" w:type="pct"/>
            <w:vAlign w:val="center"/>
          </w:tcPr>
          <w:p w14:paraId="35A70795">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749" w:type="pct"/>
            <w:vAlign w:val="center"/>
          </w:tcPr>
          <w:p w14:paraId="086B276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746" w:type="pct"/>
            <w:vAlign w:val="top"/>
          </w:tcPr>
          <w:p w14:paraId="039781B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（1）投标人具备有效的营业执照副本和基本账户开户许可证（或基本存款账户信息）；</w:t>
            </w:r>
          </w:p>
          <w:p w14:paraId="1019DB6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（2）投标人的资质符合招标文件规定；</w:t>
            </w:r>
          </w:p>
          <w:p w14:paraId="155D007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14:paraId="361EEAC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14:paraId="780BC1E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（5）投标人的项目负责人资格符合招标文件规定；</w:t>
            </w:r>
          </w:p>
          <w:p w14:paraId="7FF2065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tc>
      </w:tr>
      <w:tr w14:paraId="3BFC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502" w:type="pct"/>
            <w:vAlign w:val="center"/>
          </w:tcPr>
          <w:p w14:paraId="5E91827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749" w:type="pct"/>
            <w:vAlign w:val="center"/>
          </w:tcPr>
          <w:p w14:paraId="35EE540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746" w:type="pct"/>
            <w:vAlign w:val="center"/>
          </w:tcPr>
          <w:p w14:paraId="341CD94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14:paraId="284EDEB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业</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14:paraId="455ECDD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rPr>
              <w:t>分</w:t>
            </w:r>
          </w:p>
          <w:p w14:paraId="1A9783A5">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u w:val="single"/>
                <w:lang w:val="en-US" w:eastAsia="zh-CN"/>
              </w:rPr>
              <w:t>40</w:t>
            </w:r>
            <w:r>
              <w:rPr>
                <w:rFonts w:hint="eastAsia" w:ascii="宋体" w:hAnsi="宋体" w:eastAsia="宋体" w:cs="宋体"/>
                <w:b/>
                <w:color w:val="auto"/>
                <w:sz w:val="21"/>
                <w:szCs w:val="21"/>
                <w:highlight w:val="none"/>
              </w:rPr>
              <w:t>分</w:t>
            </w:r>
          </w:p>
          <w:p w14:paraId="052F836F">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14:paraId="6F97DE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14:paraId="3FD6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1027" w:hRule="atLeast"/>
        </w:trPr>
        <w:tc>
          <w:tcPr>
            <w:tcW w:w="502" w:type="pct"/>
            <w:vAlign w:val="center"/>
          </w:tcPr>
          <w:p w14:paraId="3E89BEA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749" w:type="pct"/>
            <w:vAlign w:val="center"/>
          </w:tcPr>
          <w:p w14:paraId="1401299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746" w:type="pct"/>
            <w:vAlign w:val="center"/>
          </w:tcPr>
          <w:p w14:paraId="00F0AA8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color w:val="auto"/>
                <w:sz w:val="21"/>
                <w:szCs w:val="21"/>
                <w:highlight w:val="none"/>
              </w:rPr>
            </w:pPr>
            <w:r>
              <w:rPr>
                <w:rFonts w:hint="eastAsia" w:ascii="宋体" w:hAnsi="宋体"/>
                <w:b/>
                <w:bCs/>
                <w:color w:val="auto"/>
                <w:sz w:val="21"/>
                <w:szCs w:val="21"/>
                <w:highlight w:val="none"/>
              </w:rPr>
              <w:t>评标基准价的计算</w:t>
            </w:r>
            <w:r>
              <w:rPr>
                <w:rFonts w:hint="eastAsia" w:ascii="宋体" w:hAnsi="宋体"/>
                <w:color w:val="auto"/>
                <w:sz w:val="21"/>
                <w:szCs w:val="21"/>
                <w:highlight w:val="none"/>
              </w:rPr>
              <w:t>：</w:t>
            </w:r>
          </w:p>
          <w:p w14:paraId="6955005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在第二个信封开标现场，招标人当场计算并宣布评标基准价。</w:t>
            </w:r>
          </w:p>
          <w:p w14:paraId="401483A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(1)评标价的确定：</w:t>
            </w:r>
          </w:p>
          <w:p w14:paraId="1FFCD28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评标价=投标函文字报价</w:t>
            </w:r>
          </w:p>
          <w:p w14:paraId="4A5CDEDF">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(2)评标价平均值的计算：</w:t>
            </w:r>
          </w:p>
          <w:p w14:paraId="736467D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141F067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(3)评标基准价的确定：</w:t>
            </w:r>
          </w:p>
          <w:p w14:paraId="5361A3C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评标价平均值直接作为评标基准价（评标基准价保留小数点后两位，小数点后第三位四舍五入）。</w:t>
            </w:r>
          </w:p>
          <w:p w14:paraId="215A2B6F">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7CB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502" w:type="pct"/>
            <w:vAlign w:val="center"/>
          </w:tcPr>
          <w:p w14:paraId="29E9B57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749" w:type="pct"/>
            <w:vAlign w:val="center"/>
          </w:tcPr>
          <w:p w14:paraId="4F97D29F">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746" w:type="pct"/>
            <w:vAlign w:val="center"/>
          </w:tcPr>
          <w:p w14:paraId="6A6EDB8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不适用</w:t>
            </w:r>
          </w:p>
        </w:tc>
      </w:tr>
      <w:tr w14:paraId="6E4D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965" w:hRule="atLeast"/>
        </w:trPr>
        <w:tc>
          <w:tcPr>
            <w:tcW w:w="502" w:type="pct"/>
            <w:vAlign w:val="center"/>
          </w:tcPr>
          <w:p w14:paraId="65CFAE6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right="0"/>
              <w:jc w:val="center"/>
              <w:textAlignment w:val="auto"/>
              <w:rPr>
                <w:rFonts w:hint="default"/>
                <w:color w:val="auto"/>
                <w:highlight w:val="none"/>
                <w:lang w:val="en-US" w:eastAsia="zh-CN"/>
              </w:rPr>
            </w:pPr>
            <w:r>
              <w:rPr>
                <w:rFonts w:hint="eastAsia" w:ascii="宋体" w:hAnsi="宋体" w:cs="宋体"/>
                <w:strike w:val="0"/>
                <w:dstrike w:val="0"/>
                <w:color w:val="auto"/>
                <w:sz w:val="21"/>
                <w:szCs w:val="21"/>
                <w:highlight w:val="none"/>
                <w:lang w:val="en-US" w:eastAsia="zh-CN"/>
              </w:rPr>
              <w:t>3.5.3</w:t>
            </w:r>
          </w:p>
        </w:tc>
        <w:tc>
          <w:tcPr>
            <w:tcW w:w="749" w:type="pct"/>
            <w:vAlign w:val="center"/>
          </w:tcPr>
          <w:p w14:paraId="1B0E1FC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异常低价情形</w:t>
            </w:r>
          </w:p>
        </w:tc>
        <w:tc>
          <w:tcPr>
            <w:tcW w:w="3746" w:type="pct"/>
            <w:vAlign w:val="center"/>
          </w:tcPr>
          <w:p w14:paraId="4972EC7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right="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本款修改为：</w:t>
            </w:r>
          </w:p>
          <w:p w14:paraId="5510714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存在投标人须知前附表3.2.5项情形的应当要求该投标人作出书面说明并提供相应的证明材料，并在规定时间内进行答复。投标人不能合理说明或者不能提供相应证明材料的，评标委员会应当认定该投标人以低于成本或影响履约的异常低价投标，否决其投标</w:t>
            </w:r>
            <w:r>
              <w:rPr>
                <w:rFonts w:hint="eastAsia" w:ascii="宋体" w:hAnsi="宋体" w:cs="宋体"/>
                <w:bCs/>
                <w:color w:val="auto"/>
                <w:sz w:val="21"/>
                <w:szCs w:val="21"/>
                <w:highlight w:val="none"/>
                <w:lang w:val="en-US" w:eastAsia="zh-CN"/>
              </w:rPr>
              <w:t>。</w:t>
            </w:r>
          </w:p>
        </w:tc>
      </w:tr>
      <w:tr w14:paraId="2B5D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35" w:hRule="atLeast"/>
        </w:trPr>
        <w:tc>
          <w:tcPr>
            <w:tcW w:w="502" w:type="pct"/>
            <w:vAlign w:val="center"/>
          </w:tcPr>
          <w:p w14:paraId="023BFE8B">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749" w:type="pct"/>
            <w:vAlign w:val="center"/>
          </w:tcPr>
          <w:p w14:paraId="6A14186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14:paraId="778F203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746" w:type="pct"/>
            <w:vAlign w:val="center"/>
          </w:tcPr>
          <w:p w14:paraId="7354609B">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14:paraId="3F3FE0D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cs="宋体"/>
                <w:color w:val="auto"/>
                <w:sz w:val="21"/>
                <w:szCs w:val="21"/>
                <w:highlight w:val="none"/>
                <w:lang w:eastAsia="zh-CN"/>
              </w:rPr>
              <w:t>安全生产严重失信主体</w:t>
            </w:r>
            <w:r>
              <w:rPr>
                <w:rFonts w:hint="eastAsia" w:ascii="宋体" w:hAnsi="宋体" w:eastAsia="宋体" w:cs="宋体"/>
                <w:color w:val="auto"/>
                <w:sz w:val="21"/>
                <w:szCs w:val="21"/>
                <w:highlight w:val="none"/>
                <w:lang w:eastAsia="zh-CN"/>
              </w:rPr>
              <w:t>名单</w:t>
            </w:r>
            <w:r>
              <w:rPr>
                <w:rFonts w:hint="eastAsia" w:ascii="宋体" w:hAnsi="宋体" w:eastAsia="宋体" w:cs="宋体"/>
                <w:color w:val="auto"/>
                <w:sz w:val="21"/>
                <w:szCs w:val="21"/>
                <w:highlight w:val="none"/>
              </w:rPr>
              <w:t>（均不含分公司）的复核结果一致。如投标人未提供相关网页截图或所附截图与复核结果不一致，评标委员会应否决其投标。</w:t>
            </w:r>
          </w:p>
          <w:p w14:paraId="601C4C8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如投标人未提供招标文件要求的相关截图或与评标委员会查询结果不符的，导致不满足资格评审标准的，评标委员会应否决其投标。</w:t>
            </w:r>
          </w:p>
          <w:p w14:paraId="4948C19C">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5801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447370B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03821A1C">
      <w:pPr>
        <w:spacing w:before="46"/>
        <w:rPr>
          <w:color w:val="auto"/>
          <w:highlight w:val="none"/>
        </w:rPr>
      </w:pPr>
    </w:p>
    <w:p w14:paraId="2D510E16">
      <w:pPr>
        <w:jc w:val="right"/>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highlight w:val="none"/>
        </w:rPr>
        <w:t>续上表</w:t>
      </w:r>
    </w:p>
    <w:tbl>
      <w:tblPr>
        <w:tblStyle w:val="1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14:paraId="756F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14:paraId="07846440">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评分因素与权重分值</w:t>
            </w:r>
          </w:p>
        </w:tc>
        <w:tc>
          <w:tcPr>
            <w:tcW w:w="5845" w:type="dxa"/>
            <w:vMerge w:val="restart"/>
            <w:noWrap w:val="0"/>
            <w:vAlign w:val="center"/>
          </w:tcPr>
          <w:p w14:paraId="25DAFE54">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评分标准</w:t>
            </w:r>
          </w:p>
        </w:tc>
      </w:tr>
      <w:tr w14:paraId="7C87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7589ED5D">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F56C847">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36F2433">
            <w:pPr>
              <w:pStyle w:val="8"/>
              <w:keepNext w:val="0"/>
              <w:keepLines w:val="0"/>
              <w:suppressLineNumbers w:val="0"/>
              <w:spacing w:before="0" w:beforeAutospacing="0" w:after="0" w:afterAutospacing="0" w:line="160" w:lineRule="atLeast"/>
              <w:ind w:left="-34" w:leftChars="-19" w:right="-27" w:rightChars="-15" w:firstLine="1"/>
              <w:jc w:val="center"/>
              <w:rPr>
                <w:rFonts w:hint="default" w:ascii="Times New Roman" w:hAnsi="Times New Roman"/>
                <w:color w:val="auto"/>
                <w:szCs w:val="21"/>
                <w:highlight w:val="none"/>
              </w:rPr>
            </w:pPr>
            <w:r>
              <w:rPr>
                <w:rFonts w:hint="default" w:ascii="Times New Roman" w:hAnsi="Times New Roman"/>
                <w:color w:val="auto"/>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5F7C94">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Style w:val="17"/>
                <w:rFonts w:hint="default" w:ascii="Times New Roman" w:hAnsi="Times New Roman" w:cs="Times New Roman"/>
                <w:color w:val="auto"/>
                <w:highlight w:val="none"/>
              </w:rPr>
              <w:t>各评分因素细分项</w:t>
            </w:r>
          </w:p>
        </w:tc>
        <w:tc>
          <w:tcPr>
            <w:tcW w:w="567" w:type="dxa"/>
            <w:tcBorders>
              <w:left w:val="single" w:color="auto" w:sz="4" w:space="0"/>
            </w:tcBorders>
            <w:noWrap w:val="0"/>
            <w:vAlign w:val="center"/>
          </w:tcPr>
          <w:p w14:paraId="293F1BCF">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分值</w:t>
            </w:r>
          </w:p>
        </w:tc>
        <w:tc>
          <w:tcPr>
            <w:tcW w:w="5845" w:type="dxa"/>
            <w:vMerge w:val="continue"/>
            <w:noWrap w:val="0"/>
            <w:vAlign w:val="center"/>
          </w:tcPr>
          <w:p w14:paraId="67C1B854">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r>
      <w:tr w14:paraId="054D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tcBorders>
            <w:noWrap w:val="0"/>
            <w:vAlign w:val="center"/>
          </w:tcPr>
          <w:p w14:paraId="302C2A29">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2.2.4（1）</w:t>
            </w:r>
          </w:p>
        </w:tc>
        <w:tc>
          <w:tcPr>
            <w:tcW w:w="741" w:type="dxa"/>
            <w:vMerge w:val="restart"/>
            <w:tcBorders>
              <w:top w:val="single" w:color="auto" w:sz="4" w:space="0"/>
            </w:tcBorders>
            <w:noWrap w:val="0"/>
            <w:vAlign w:val="center"/>
          </w:tcPr>
          <w:p w14:paraId="54EE69FA">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实施方案</w:t>
            </w:r>
          </w:p>
        </w:tc>
        <w:tc>
          <w:tcPr>
            <w:tcW w:w="624" w:type="dxa"/>
            <w:vMerge w:val="restart"/>
            <w:tcBorders>
              <w:top w:val="single" w:color="auto" w:sz="4" w:space="0"/>
            </w:tcBorders>
            <w:noWrap w:val="0"/>
            <w:vAlign w:val="center"/>
          </w:tcPr>
          <w:p w14:paraId="201E378E">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40</w:t>
            </w:r>
            <w:r>
              <w:rPr>
                <w:rFonts w:hint="default" w:ascii="Times New Roman" w:hAnsi="Times New Roman"/>
                <w:color w:val="auto"/>
                <w:szCs w:val="21"/>
                <w:highlight w:val="none"/>
              </w:rPr>
              <w:t>分</w:t>
            </w:r>
          </w:p>
        </w:tc>
        <w:tc>
          <w:tcPr>
            <w:tcW w:w="1134" w:type="dxa"/>
            <w:vMerge w:val="restart"/>
            <w:tcBorders>
              <w:top w:val="single" w:color="auto" w:sz="4" w:space="0"/>
            </w:tcBorders>
            <w:noWrap w:val="0"/>
            <w:vAlign w:val="center"/>
          </w:tcPr>
          <w:p w14:paraId="117AA1A6">
            <w:pPr>
              <w:pStyle w:val="8"/>
              <w:keepNext w:val="0"/>
              <w:keepLines w:val="0"/>
              <w:suppressLineNumbers w:val="0"/>
              <w:spacing w:before="0" w:beforeAutospacing="0" w:after="0" w:afterAutospacing="0" w:line="160" w:lineRule="atLeast"/>
              <w:ind w:left="0" w:right="-50" w:rightChars="-28"/>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系统方案</w:t>
            </w:r>
          </w:p>
        </w:tc>
        <w:tc>
          <w:tcPr>
            <w:tcW w:w="567" w:type="dxa"/>
            <w:vMerge w:val="restart"/>
            <w:noWrap w:val="0"/>
            <w:vAlign w:val="center"/>
          </w:tcPr>
          <w:p w14:paraId="0D7D112F">
            <w:pPr>
              <w:pStyle w:val="8"/>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1</w:t>
            </w:r>
            <w:r>
              <w:rPr>
                <w:rFonts w:hint="eastAsia" w:ascii="Times New Roman" w:hAnsi="Times New Roman"/>
                <w:color w:val="auto"/>
                <w:sz w:val="21"/>
                <w:szCs w:val="21"/>
                <w:highlight w:val="none"/>
              </w:rPr>
              <w:t>0</w:t>
            </w:r>
          </w:p>
          <w:p w14:paraId="1E427282">
            <w:pPr>
              <w:pStyle w:val="8"/>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分</w:t>
            </w:r>
          </w:p>
        </w:tc>
        <w:tc>
          <w:tcPr>
            <w:tcW w:w="5845" w:type="dxa"/>
            <w:noWrap w:val="0"/>
            <w:vAlign w:val="center"/>
          </w:tcPr>
          <w:p w14:paraId="56A1EA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Times New Roman" w:hAnsi="Times New Roman" w:eastAsia="宋体"/>
                <w:color w:val="auto"/>
                <w:sz w:val="21"/>
                <w:szCs w:val="21"/>
                <w:highlight w:val="none"/>
                <w:lang w:eastAsia="zh-CN"/>
              </w:rPr>
            </w:pPr>
            <w:r>
              <w:rPr>
                <w:rFonts w:hint="eastAsia"/>
                <w:color w:val="auto"/>
                <w:sz w:val="21"/>
                <w:szCs w:val="21"/>
                <w:highlight w:val="none"/>
              </w:rPr>
              <w:t>投标人对项目需求的理解</w:t>
            </w:r>
            <w:r>
              <w:rPr>
                <w:rFonts w:hint="eastAsia" w:ascii="Calibri" w:eastAsia="宋体"/>
                <w:color w:val="auto"/>
                <w:sz w:val="21"/>
                <w:szCs w:val="21"/>
                <w:highlight w:val="none"/>
                <w:lang w:val="en-US" w:eastAsia="zh-CN"/>
              </w:rPr>
              <w:t>一般</w:t>
            </w:r>
            <w:r>
              <w:rPr>
                <w:rFonts w:hint="eastAsia"/>
                <w:color w:val="auto"/>
                <w:sz w:val="21"/>
                <w:szCs w:val="21"/>
                <w:highlight w:val="none"/>
              </w:rPr>
              <w:t>，实施方案基本满足项目要求</w:t>
            </w:r>
            <w:r>
              <w:rPr>
                <w:rFonts w:hint="eastAsia" w:eastAsia="宋体"/>
                <w:color w:val="auto"/>
                <w:sz w:val="21"/>
                <w:szCs w:val="21"/>
                <w:highlight w:val="none"/>
                <w:lang w:eastAsia="zh-CN"/>
              </w:rPr>
              <w:t>，</w:t>
            </w:r>
            <w:r>
              <w:rPr>
                <w:rFonts w:hint="eastAsia"/>
                <w:color w:val="auto"/>
                <w:sz w:val="21"/>
                <w:szCs w:val="21"/>
                <w:highlight w:val="none"/>
              </w:rPr>
              <w:t>得6分。</w:t>
            </w:r>
          </w:p>
        </w:tc>
      </w:tr>
      <w:tr w14:paraId="43EF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4E67EE9C">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center"/>
          </w:tcPr>
          <w:p w14:paraId="0259B554">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1EB641CB">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center"/>
          </w:tcPr>
          <w:p w14:paraId="0890CCCD">
            <w:pPr>
              <w:pStyle w:val="8"/>
              <w:keepNext w:val="0"/>
              <w:keepLines w:val="0"/>
              <w:suppressLineNumbers w:val="0"/>
              <w:spacing w:before="0" w:beforeAutospacing="0" w:after="0" w:afterAutospacing="0" w:line="160" w:lineRule="atLeast"/>
              <w:ind w:left="0" w:right="-50" w:rightChars="-28"/>
              <w:jc w:val="center"/>
              <w:rPr>
                <w:rFonts w:hint="default" w:ascii="Times New Roman" w:hAnsi="Times New Roman" w:eastAsia="宋体" w:cs="Times New Roman"/>
                <w:color w:val="auto"/>
                <w:sz w:val="21"/>
                <w:szCs w:val="21"/>
                <w:highlight w:val="none"/>
              </w:rPr>
            </w:pPr>
          </w:p>
        </w:tc>
        <w:tc>
          <w:tcPr>
            <w:tcW w:w="567" w:type="dxa"/>
            <w:vMerge w:val="continue"/>
            <w:noWrap w:val="0"/>
            <w:vAlign w:val="center"/>
          </w:tcPr>
          <w:p w14:paraId="157CF490">
            <w:pPr>
              <w:pStyle w:val="8"/>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color w:val="auto"/>
                <w:sz w:val="21"/>
                <w:szCs w:val="21"/>
                <w:highlight w:val="none"/>
              </w:rPr>
            </w:pPr>
          </w:p>
        </w:tc>
        <w:tc>
          <w:tcPr>
            <w:tcW w:w="5845" w:type="dxa"/>
            <w:noWrap w:val="0"/>
            <w:vAlign w:val="center"/>
          </w:tcPr>
          <w:p w14:paraId="7A1BAD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color w:val="auto"/>
                <w:spacing w:val="-4"/>
                <w:sz w:val="21"/>
                <w:szCs w:val="21"/>
                <w:highlight w:val="none"/>
              </w:rPr>
            </w:pPr>
            <w:r>
              <w:rPr>
                <w:rFonts w:hint="eastAsia"/>
                <w:color w:val="auto"/>
                <w:sz w:val="21"/>
                <w:szCs w:val="21"/>
                <w:highlight w:val="none"/>
              </w:rPr>
              <w:t>投标人对项目需求的理解较合理，实施方案基本涵盖招标人所有需求范围，有升级计划和维护策略较完善，能较好满足项目要求，便于理解且具有可操作性，得6-8分；</w:t>
            </w:r>
          </w:p>
        </w:tc>
      </w:tr>
      <w:tr w14:paraId="1BE7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204DC576">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center"/>
          </w:tcPr>
          <w:p w14:paraId="7E91F1CF">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36A5CBBF">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center"/>
          </w:tcPr>
          <w:p w14:paraId="6C274B69">
            <w:pPr>
              <w:pStyle w:val="8"/>
              <w:keepNext w:val="0"/>
              <w:keepLines w:val="0"/>
              <w:suppressLineNumbers w:val="0"/>
              <w:spacing w:before="0" w:beforeAutospacing="0" w:after="0" w:afterAutospacing="0" w:line="160" w:lineRule="atLeast"/>
              <w:ind w:left="0" w:right="-50" w:rightChars="-28"/>
              <w:jc w:val="center"/>
              <w:rPr>
                <w:rFonts w:hint="default" w:ascii="Times New Roman" w:hAnsi="Times New Roman" w:eastAsia="宋体" w:cs="Times New Roman"/>
                <w:color w:val="auto"/>
                <w:sz w:val="21"/>
                <w:szCs w:val="21"/>
                <w:highlight w:val="none"/>
              </w:rPr>
            </w:pPr>
          </w:p>
        </w:tc>
        <w:tc>
          <w:tcPr>
            <w:tcW w:w="567" w:type="dxa"/>
            <w:vMerge w:val="continue"/>
            <w:noWrap w:val="0"/>
            <w:vAlign w:val="center"/>
          </w:tcPr>
          <w:p w14:paraId="4ED58581">
            <w:pPr>
              <w:pStyle w:val="8"/>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color w:val="auto"/>
                <w:sz w:val="21"/>
                <w:szCs w:val="21"/>
                <w:highlight w:val="none"/>
              </w:rPr>
            </w:pPr>
          </w:p>
        </w:tc>
        <w:tc>
          <w:tcPr>
            <w:tcW w:w="5845" w:type="dxa"/>
            <w:noWrap w:val="0"/>
            <w:vAlign w:val="center"/>
          </w:tcPr>
          <w:p w14:paraId="626EDB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color w:val="auto"/>
                <w:sz w:val="21"/>
                <w:szCs w:val="21"/>
                <w:highlight w:val="none"/>
              </w:rPr>
            </w:pPr>
            <w:r>
              <w:rPr>
                <w:rFonts w:hint="eastAsia"/>
                <w:color w:val="auto"/>
                <w:sz w:val="21"/>
                <w:szCs w:val="21"/>
                <w:highlight w:val="none"/>
              </w:rPr>
              <w:t>投标人对项目需求的理解合理，实施方案充分涵盖招标人所有需求范围，便于理解且具有可操作性，制定针对收费、监控、办公系统专属明确的升级计划，明确升级频率、方式与时间，契合系统特性，可操作性强，完全满足项目要求</w:t>
            </w:r>
            <w:r>
              <w:rPr>
                <w:rFonts w:hint="eastAsia" w:eastAsia="宋体"/>
                <w:color w:val="auto"/>
                <w:sz w:val="21"/>
                <w:szCs w:val="21"/>
                <w:highlight w:val="none"/>
                <w:lang w:eastAsia="zh-CN"/>
              </w:rPr>
              <w:t>，</w:t>
            </w:r>
            <w:r>
              <w:rPr>
                <w:rFonts w:hint="eastAsia"/>
                <w:color w:val="auto"/>
                <w:sz w:val="21"/>
                <w:szCs w:val="21"/>
                <w:highlight w:val="none"/>
              </w:rPr>
              <w:t>得8-10分；</w:t>
            </w:r>
          </w:p>
        </w:tc>
      </w:tr>
      <w:tr w14:paraId="0939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43C41888">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211F0F75">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39A1B61A">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restart"/>
            <w:noWrap w:val="0"/>
            <w:vAlign w:val="center"/>
          </w:tcPr>
          <w:p w14:paraId="2F425F39">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技术</w:t>
            </w:r>
            <w:r>
              <w:rPr>
                <w:rFonts w:hint="eastAsia" w:ascii="Times New Roman" w:hAnsi="Times New Roman" w:cs="Times New Roman"/>
                <w:color w:val="auto"/>
                <w:sz w:val="21"/>
                <w:szCs w:val="21"/>
                <w:highlight w:val="none"/>
                <w:lang w:val="en-US" w:eastAsia="zh-CN"/>
              </w:rPr>
              <w:t>能力支持</w:t>
            </w:r>
          </w:p>
        </w:tc>
        <w:tc>
          <w:tcPr>
            <w:tcW w:w="567" w:type="dxa"/>
            <w:vMerge w:val="restart"/>
            <w:noWrap w:val="0"/>
            <w:vAlign w:val="center"/>
          </w:tcPr>
          <w:p w14:paraId="4C9093E1">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10</w:t>
            </w:r>
            <w:r>
              <w:rPr>
                <w:rFonts w:hint="default" w:ascii="Times New Roman" w:hAnsi="Times New Roman"/>
                <w:color w:val="auto"/>
                <w:sz w:val="21"/>
                <w:szCs w:val="21"/>
                <w:highlight w:val="none"/>
              </w:rPr>
              <w:t>分</w:t>
            </w:r>
          </w:p>
        </w:tc>
        <w:tc>
          <w:tcPr>
            <w:tcW w:w="5845" w:type="dxa"/>
            <w:noWrap w:val="0"/>
            <w:vAlign w:val="center"/>
          </w:tcPr>
          <w:p w14:paraId="7CC23E82">
            <w:pPr>
              <w:keepNext w:val="0"/>
              <w:keepLines w:val="0"/>
              <w:suppressLineNumbers w:val="0"/>
              <w:spacing w:before="0" w:beforeAutospacing="0" w:after="0" w:afterAutospacing="0"/>
              <w:ind w:left="0" w:leftChars="0" w:right="0" w:rightChars="0"/>
              <w:jc w:val="left"/>
              <w:rPr>
                <w:rFonts w:hint="default" w:ascii="Times New Roman" w:hAnsi="Times New Roman"/>
                <w:color w:val="auto"/>
                <w:sz w:val="21"/>
                <w:szCs w:val="21"/>
                <w:highlight w:val="none"/>
              </w:rPr>
            </w:pPr>
            <w:r>
              <w:rPr>
                <w:rFonts w:hint="eastAsia" w:ascii="Calibri" w:eastAsia="宋体"/>
                <w:color w:val="auto"/>
                <w:kern w:val="2"/>
                <w:sz w:val="21"/>
                <w:szCs w:val="21"/>
                <w:highlight w:val="none"/>
                <w:lang w:val="en-US" w:eastAsia="zh-CN"/>
              </w:rPr>
              <w:t>团队资质与经验基本满足项目要求</w:t>
            </w:r>
            <w:r>
              <w:rPr>
                <w:rFonts w:hint="default"/>
                <w:color w:val="auto"/>
                <w:kern w:val="2"/>
                <w:sz w:val="21"/>
                <w:szCs w:val="21"/>
                <w:highlight w:val="none"/>
              </w:rPr>
              <w:t>，得</w:t>
            </w:r>
            <w:r>
              <w:rPr>
                <w:rFonts w:hint="eastAsia" w:ascii="Calibri" w:eastAsia="宋体"/>
                <w:color w:val="auto"/>
                <w:kern w:val="2"/>
                <w:sz w:val="21"/>
                <w:szCs w:val="21"/>
                <w:highlight w:val="none"/>
                <w:lang w:val="en-US" w:eastAsia="zh-CN"/>
              </w:rPr>
              <w:t>6</w:t>
            </w:r>
            <w:r>
              <w:rPr>
                <w:rFonts w:hint="default"/>
                <w:color w:val="auto"/>
                <w:kern w:val="2"/>
                <w:sz w:val="21"/>
                <w:szCs w:val="21"/>
                <w:highlight w:val="none"/>
              </w:rPr>
              <w:t>分；</w:t>
            </w:r>
          </w:p>
        </w:tc>
      </w:tr>
      <w:tr w14:paraId="4FC2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22DFECED">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4A949AA8">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6183985C">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center"/>
          </w:tcPr>
          <w:p w14:paraId="32BAA6B5">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17C89ED3">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1DBF59CA">
            <w:pPr>
              <w:keepNext w:val="0"/>
              <w:keepLines w:val="0"/>
              <w:suppressLineNumbers w:val="0"/>
              <w:spacing w:before="0" w:beforeAutospacing="0" w:after="0" w:afterAutospacing="0"/>
              <w:ind w:left="0" w:leftChars="0" w:right="0" w:rightChars="0"/>
              <w:jc w:val="left"/>
              <w:rPr>
                <w:rFonts w:hint="default" w:ascii="Times New Roman" w:hAnsi="Times New Roman"/>
                <w:color w:val="auto"/>
                <w:sz w:val="21"/>
                <w:szCs w:val="21"/>
                <w:highlight w:val="none"/>
              </w:rPr>
            </w:pPr>
            <w:r>
              <w:rPr>
                <w:rFonts w:hint="eastAsia" w:ascii="Calibri" w:eastAsia="宋体"/>
                <w:color w:val="auto"/>
                <w:kern w:val="2"/>
                <w:sz w:val="21"/>
                <w:szCs w:val="21"/>
                <w:highlight w:val="none"/>
                <w:lang w:val="en-US" w:eastAsia="zh-CN"/>
              </w:rPr>
              <w:t>团队资质与经验有一定基础，兼容性措施较为完善</w:t>
            </w:r>
            <w:r>
              <w:rPr>
                <w:rFonts w:hint="default"/>
                <w:color w:val="auto"/>
                <w:kern w:val="2"/>
                <w:sz w:val="21"/>
                <w:szCs w:val="21"/>
                <w:highlight w:val="none"/>
              </w:rPr>
              <w:t>，能较好满足项目要求</w:t>
            </w:r>
            <w:r>
              <w:rPr>
                <w:rFonts w:hint="eastAsia" w:eastAsia="宋体"/>
                <w:color w:val="auto"/>
                <w:kern w:val="2"/>
                <w:sz w:val="21"/>
                <w:szCs w:val="21"/>
                <w:highlight w:val="none"/>
                <w:lang w:eastAsia="zh-CN"/>
              </w:rPr>
              <w:t>，</w:t>
            </w:r>
            <w:r>
              <w:rPr>
                <w:rFonts w:hint="default"/>
                <w:color w:val="auto"/>
                <w:kern w:val="2"/>
                <w:sz w:val="21"/>
                <w:szCs w:val="21"/>
                <w:highlight w:val="none"/>
              </w:rPr>
              <w:t>得</w:t>
            </w:r>
            <w:r>
              <w:rPr>
                <w:rFonts w:hint="eastAsia" w:ascii="Calibri" w:eastAsia="宋体"/>
                <w:color w:val="auto"/>
                <w:kern w:val="2"/>
                <w:sz w:val="21"/>
                <w:szCs w:val="21"/>
                <w:highlight w:val="none"/>
                <w:lang w:val="en-US" w:eastAsia="zh-CN"/>
              </w:rPr>
              <w:t>6</w:t>
            </w:r>
            <w:r>
              <w:rPr>
                <w:rFonts w:hint="default"/>
                <w:color w:val="auto"/>
                <w:kern w:val="2"/>
                <w:sz w:val="21"/>
                <w:szCs w:val="21"/>
                <w:highlight w:val="none"/>
              </w:rPr>
              <w:t>－</w:t>
            </w:r>
            <w:r>
              <w:rPr>
                <w:rFonts w:hint="eastAsia" w:ascii="Calibri" w:eastAsia="宋体"/>
                <w:color w:val="auto"/>
                <w:kern w:val="2"/>
                <w:sz w:val="21"/>
                <w:szCs w:val="21"/>
                <w:highlight w:val="none"/>
                <w:lang w:val="en-US" w:eastAsia="zh-CN"/>
              </w:rPr>
              <w:t>8</w:t>
            </w:r>
            <w:r>
              <w:rPr>
                <w:rFonts w:hint="default"/>
                <w:color w:val="auto"/>
                <w:kern w:val="2"/>
                <w:sz w:val="21"/>
                <w:szCs w:val="21"/>
                <w:highlight w:val="none"/>
              </w:rPr>
              <w:t>分；</w:t>
            </w:r>
          </w:p>
        </w:tc>
      </w:tr>
      <w:tr w14:paraId="71D1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637C7202">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07BD02D6">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03A3EC35">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center"/>
          </w:tcPr>
          <w:p w14:paraId="69909B33">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5C89D0D0">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641671F5">
            <w:pPr>
              <w:keepNext w:val="0"/>
              <w:keepLines w:val="0"/>
              <w:suppressLineNumbers w:val="0"/>
              <w:spacing w:before="0" w:beforeAutospacing="0" w:after="0" w:afterAutospacing="0"/>
              <w:ind w:left="0" w:leftChars="0" w:right="0" w:rightChars="0"/>
              <w:jc w:val="left"/>
              <w:rPr>
                <w:rFonts w:hint="default" w:ascii="Times New Roman" w:hAnsi="Times New Roman"/>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团队成员有熟悉相关系统技术人员且配置合理，拥有多个同类系统升级维护成功案例，能明确阐述保障与现有软硬件兼容的合理有效技术手段</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拥有多个同类网络安全维护成功案例，完全满足项目要求</w:t>
            </w:r>
            <w:r>
              <w:rPr>
                <w:rFonts w:hint="eastAsia" w:ascii="宋体" w:hAnsi="宋体" w:cs="宋体"/>
                <w:b w:val="0"/>
                <w:bCs w:val="0"/>
                <w:color w:val="auto"/>
                <w:kern w:val="2"/>
                <w:sz w:val="21"/>
                <w:szCs w:val="21"/>
                <w:highlight w:val="none"/>
                <w:lang w:val="en-US" w:eastAsia="zh-CN" w:bidi="ar-SA"/>
              </w:rPr>
              <w:t>，</w:t>
            </w:r>
            <w:r>
              <w:rPr>
                <w:rFonts w:hint="default"/>
                <w:color w:val="auto"/>
                <w:kern w:val="2"/>
                <w:sz w:val="21"/>
                <w:szCs w:val="21"/>
                <w:highlight w:val="none"/>
              </w:rPr>
              <w:t>得</w:t>
            </w:r>
            <w:r>
              <w:rPr>
                <w:rFonts w:hint="eastAsia" w:ascii="Calibri" w:eastAsia="宋体"/>
                <w:color w:val="auto"/>
                <w:kern w:val="2"/>
                <w:sz w:val="21"/>
                <w:szCs w:val="21"/>
                <w:highlight w:val="none"/>
                <w:lang w:val="en-US" w:eastAsia="zh-CN"/>
              </w:rPr>
              <w:t>8</w:t>
            </w:r>
            <w:r>
              <w:rPr>
                <w:rFonts w:hint="default"/>
                <w:color w:val="auto"/>
                <w:kern w:val="2"/>
                <w:sz w:val="21"/>
                <w:szCs w:val="21"/>
                <w:highlight w:val="none"/>
              </w:rPr>
              <w:t>－</w:t>
            </w:r>
            <w:r>
              <w:rPr>
                <w:rFonts w:hint="eastAsia" w:ascii="Calibri" w:eastAsia="宋体"/>
                <w:color w:val="auto"/>
                <w:kern w:val="2"/>
                <w:sz w:val="21"/>
                <w:szCs w:val="21"/>
                <w:highlight w:val="none"/>
                <w:lang w:val="en-US" w:eastAsia="zh-CN"/>
              </w:rPr>
              <w:t>10</w:t>
            </w:r>
            <w:r>
              <w:rPr>
                <w:rFonts w:hint="default"/>
                <w:color w:val="auto"/>
                <w:kern w:val="2"/>
                <w:sz w:val="21"/>
                <w:szCs w:val="21"/>
                <w:highlight w:val="none"/>
              </w:rPr>
              <w:t>分。</w:t>
            </w:r>
          </w:p>
        </w:tc>
      </w:tr>
      <w:tr w14:paraId="7300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C4ABECC">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20DA12EB">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5B8CFC21">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restart"/>
            <w:noWrap w:val="0"/>
            <w:vAlign w:val="center"/>
          </w:tcPr>
          <w:p w14:paraId="18BC3A8F">
            <w:pPr>
              <w:pStyle w:val="8"/>
              <w:keepNext w:val="0"/>
              <w:keepLines w:val="0"/>
              <w:suppressLineNumbers w:val="0"/>
              <w:spacing w:before="0" w:beforeAutospacing="0" w:after="0" w:afterAutospacing="0" w:line="160" w:lineRule="atLeast"/>
              <w:ind w:left="0" w:leftChars="0" w:right="-50" w:rightChars="-28"/>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工作质量控制方法及措施</w:t>
            </w:r>
          </w:p>
        </w:tc>
        <w:tc>
          <w:tcPr>
            <w:tcW w:w="567" w:type="dxa"/>
            <w:vMerge w:val="restart"/>
            <w:noWrap w:val="0"/>
            <w:vAlign w:val="center"/>
          </w:tcPr>
          <w:p w14:paraId="785DB9C9">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10</w:t>
            </w:r>
            <w:r>
              <w:rPr>
                <w:rFonts w:hint="default" w:ascii="Times New Roman" w:hAnsi="Times New Roman"/>
                <w:color w:val="auto"/>
                <w:sz w:val="21"/>
                <w:szCs w:val="21"/>
                <w:highlight w:val="none"/>
              </w:rPr>
              <w:t>分</w:t>
            </w:r>
          </w:p>
        </w:tc>
        <w:tc>
          <w:tcPr>
            <w:tcW w:w="5845" w:type="dxa"/>
            <w:noWrap w:val="0"/>
            <w:vAlign w:val="center"/>
          </w:tcPr>
          <w:p w14:paraId="02783D6A">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拟采取的控制方法及措施符合法律法规要求，针对性、可操作性一般，得</w:t>
            </w:r>
            <w:r>
              <w:rPr>
                <w:rFonts w:hint="eastAsia" w:ascii="Times New Roman" w:hAnsi="Times New Roman"/>
                <w:color w:val="auto"/>
                <w:sz w:val="21"/>
                <w:szCs w:val="21"/>
                <w:highlight w:val="none"/>
                <w:lang w:val="en-US" w:eastAsia="zh-CN"/>
              </w:rPr>
              <w:t>6</w:t>
            </w:r>
            <w:r>
              <w:rPr>
                <w:rFonts w:hint="default" w:ascii="Times New Roman" w:hAnsi="Times New Roman"/>
                <w:color w:val="auto"/>
                <w:sz w:val="21"/>
                <w:szCs w:val="21"/>
                <w:highlight w:val="none"/>
              </w:rPr>
              <w:t>分；</w:t>
            </w:r>
          </w:p>
        </w:tc>
      </w:tr>
      <w:tr w14:paraId="1D30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35DD2C40">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1E1EA6C2">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41015220">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top"/>
          </w:tcPr>
          <w:p w14:paraId="66F9F795">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0159DE71">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6604DDAA">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拟采取的控制方法及措施符合法律法规要求，针对性、可操作性较强，得</w:t>
            </w:r>
            <w:r>
              <w:rPr>
                <w:rFonts w:hint="eastAsia" w:ascii="Times New Roman" w:hAnsi="Times New Roman"/>
                <w:color w:val="auto"/>
                <w:sz w:val="21"/>
                <w:szCs w:val="21"/>
                <w:highlight w:val="none"/>
                <w:lang w:val="en-US" w:eastAsia="zh-CN"/>
              </w:rPr>
              <w:t>6</w:t>
            </w:r>
            <w:r>
              <w:rPr>
                <w:rFonts w:hint="default" w:ascii="Times New Roman" w:hAnsi="Times New Roman"/>
                <w:color w:val="auto"/>
                <w:sz w:val="21"/>
                <w:szCs w:val="21"/>
                <w:highlight w:val="none"/>
              </w:rPr>
              <w:t>－</w:t>
            </w:r>
            <w:r>
              <w:rPr>
                <w:rFonts w:hint="eastAsia" w:ascii="Times New Roman" w:hAnsi="Times New Roman"/>
                <w:color w:val="auto"/>
                <w:sz w:val="21"/>
                <w:szCs w:val="21"/>
                <w:highlight w:val="none"/>
                <w:lang w:val="en-US" w:eastAsia="zh-CN"/>
              </w:rPr>
              <w:t>8</w:t>
            </w:r>
            <w:r>
              <w:rPr>
                <w:rFonts w:hint="default" w:ascii="Times New Roman" w:hAnsi="Times New Roman"/>
                <w:color w:val="auto"/>
                <w:sz w:val="21"/>
                <w:szCs w:val="21"/>
                <w:highlight w:val="none"/>
              </w:rPr>
              <w:t>分；</w:t>
            </w:r>
          </w:p>
        </w:tc>
      </w:tr>
      <w:tr w14:paraId="38C1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5533D405">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6A0E9B0B">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7AA20D00">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top"/>
          </w:tcPr>
          <w:p w14:paraId="48FF32E2">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21C32FD4">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6881A675">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拟采取的控制方法及措施符合法律法规要求，针对性、可操作性强，得</w:t>
            </w:r>
            <w:r>
              <w:rPr>
                <w:rFonts w:hint="eastAsia" w:ascii="Times New Roman" w:hAnsi="Times New Roman"/>
                <w:color w:val="auto"/>
                <w:sz w:val="21"/>
                <w:szCs w:val="21"/>
                <w:highlight w:val="none"/>
                <w:lang w:val="en-US" w:eastAsia="zh-CN"/>
              </w:rPr>
              <w:t>8</w:t>
            </w:r>
            <w:r>
              <w:rPr>
                <w:rFonts w:hint="default" w:ascii="Times New Roman" w:hAnsi="Times New Roman"/>
                <w:color w:val="auto"/>
                <w:sz w:val="21"/>
                <w:szCs w:val="21"/>
                <w:highlight w:val="none"/>
              </w:rPr>
              <w:t>－</w:t>
            </w:r>
            <w:r>
              <w:rPr>
                <w:rFonts w:hint="eastAsia" w:ascii="Times New Roman" w:hAnsi="Times New Roman"/>
                <w:color w:val="auto"/>
                <w:sz w:val="21"/>
                <w:szCs w:val="21"/>
                <w:highlight w:val="none"/>
                <w:lang w:val="en-US" w:eastAsia="zh-CN"/>
              </w:rPr>
              <w:t>10</w:t>
            </w:r>
            <w:r>
              <w:rPr>
                <w:rFonts w:hint="default" w:ascii="Times New Roman" w:hAnsi="Times New Roman"/>
                <w:color w:val="auto"/>
                <w:sz w:val="21"/>
                <w:szCs w:val="21"/>
                <w:highlight w:val="none"/>
              </w:rPr>
              <w:t>分。</w:t>
            </w:r>
          </w:p>
        </w:tc>
      </w:tr>
      <w:tr w14:paraId="62F1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1" w:type="dxa"/>
            <w:vMerge w:val="continue"/>
            <w:noWrap w:val="0"/>
            <w:vAlign w:val="center"/>
          </w:tcPr>
          <w:p w14:paraId="39422757">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36BCC979">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52A4D9A2">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restart"/>
            <w:noWrap w:val="0"/>
            <w:vAlign w:val="center"/>
          </w:tcPr>
          <w:p w14:paraId="597141EB">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工作进度安排</w:t>
            </w:r>
          </w:p>
        </w:tc>
        <w:tc>
          <w:tcPr>
            <w:tcW w:w="567" w:type="dxa"/>
            <w:vMerge w:val="restart"/>
            <w:noWrap w:val="0"/>
            <w:vAlign w:val="center"/>
          </w:tcPr>
          <w:p w14:paraId="722EADB3">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5分</w:t>
            </w:r>
          </w:p>
        </w:tc>
        <w:tc>
          <w:tcPr>
            <w:tcW w:w="5845" w:type="dxa"/>
            <w:noWrap w:val="0"/>
            <w:vAlign w:val="center"/>
          </w:tcPr>
          <w:p w14:paraId="0B7F94A7">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进度安排一般，基本满足项目要求，得3分；</w:t>
            </w:r>
          </w:p>
        </w:tc>
      </w:tr>
      <w:tr w14:paraId="7F16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14:paraId="54A7A29C">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530EFABD">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5E44627A">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top"/>
          </w:tcPr>
          <w:p w14:paraId="28C93BA4">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3BB263C5">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3D495188">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进度安排较合理，能较好满足项目要求，得3－4分；</w:t>
            </w:r>
          </w:p>
        </w:tc>
      </w:tr>
      <w:tr w14:paraId="1F89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41" w:type="dxa"/>
            <w:vMerge w:val="continue"/>
            <w:noWrap w:val="0"/>
            <w:vAlign w:val="top"/>
          </w:tcPr>
          <w:p w14:paraId="052BB929">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001709C1">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2FD62D44">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top"/>
          </w:tcPr>
          <w:p w14:paraId="73D5B338">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407C0A81">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306E13E3">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进度安排合理周密，完全满足项目要求，得4－5分。</w:t>
            </w:r>
          </w:p>
        </w:tc>
      </w:tr>
      <w:tr w14:paraId="7D7F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21089427">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center"/>
          </w:tcPr>
          <w:p w14:paraId="12AB40E1">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579BAD0F">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restart"/>
            <w:noWrap w:val="0"/>
            <w:vAlign w:val="center"/>
          </w:tcPr>
          <w:p w14:paraId="6DB1DB67">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服务承诺及保证措施</w:t>
            </w:r>
          </w:p>
        </w:tc>
        <w:tc>
          <w:tcPr>
            <w:tcW w:w="567" w:type="dxa"/>
            <w:vMerge w:val="restart"/>
            <w:noWrap w:val="0"/>
            <w:vAlign w:val="center"/>
          </w:tcPr>
          <w:p w14:paraId="49E1A941">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5分</w:t>
            </w:r>
          </w:p>
        </w:tc>
        <w:tc>
          <w:tcPr>
            <w:tcW w:w="5845" w:type="dxa"/>
            <w:noWrap w:val="0"/>
            <w:vAlign w:val="center"/>
          </w:tcPr>
          <w:p w14:paraId="4A409B26">
            <w:pPr>
              <w:keepNext w:val="0"/>
              <w:keepLines w:val="0"/>
              <w:suppressLineNumbers w:val="0"/>
              <w:spacing w:before="0" w:beforeAutospacing="0" w:after="0" w:afterAutospacing="0"/>
              <w:ind w:left="0" w:leftChars="0" w:right="0" w:rightChars="0"/>
              <w:jc w:val="left"/>
              <w:rPr>
                <w:rFonts w:hint="default"/>
                <w:color w:val="auto"/>
                <w:kern w:val="2"/>
                <w:sz w:val="21"/>
                <w:szCs w:val="21"/>
                <w:highlight w:val="none"/>
              </w:rPr>
            </w:pPr>
            <w:r>
              <w:rPr>
                <w:rFonts w:hint="default"/>
                <w:color w:val="auto"/>
                <w:kern w:val="2"/>
                <w:sz w:val="21"/>
                <w:szCs w:val="21"/>
                <w:highlight w:val="none"/>
                <w:lang w:val="en-US" w:eastAsia="zh-CN"/>
              </w:rPr>
              <w:t>投标人对于服务承诺及保证措施安排一般，</w:t>
            </w:r>
            <w:r>
              <w:rPr>
                <w:rFonts w:hint="eastAsia" w:ascii="宋体" w:hAnsi="宋体" w:eastAsia="宋体" w:cs="宋体"/>
                <w:color w:val="auto"/>
                <w:kern w:val="2"/>
                <w:sz w:val="21"/>
                <w:szCs w:val="21"/>
                <w:highlight w:val="none"/>
                <w:lang w:val="en-US" w:eastAsia="zh-CN"/>
              </w:rPr>
              <w:t>得3分</w:t>
            </w:r>
            <w:r>
              <w:rPr>
                <w:rFonts w:hint="default"/>
                <w:color w:val="auto"/>
                <w:kern w:val="2"/>
                <w:sz w:val="21"/>
                <w:szCs w:val="21"/>
                <w:highlight w:val="none"/>
                <w:lang w:val="en-US" w:eastAsia="zh-CN"/>
              </w:rPr>
              <w:t>；</w:t>
            </w:r>
          </w:p>
        </w:tc>
      </w:tr>
      <w:tr w14:paraId="60B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14:paraId="2511FA45">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55B2A4DC">
            <w:pPr>
              <w:pStyle w:val="8"/>
              <w:keepNext w:val="0"/>
              <w:keepLines w:val="0"/>
              <w:suppressLineNumbers w:val="0"/>
              <w:spacing w:before="0" w:beforeAutospacing="0" w:after="0" w:afterAutospacing="0" w:line="160" w:lineRule="atLeast"/>
              <w:ind w:left="0" w:right="0"/>
              <w:rPr>
                <w:rFonts w:hint="default" w:ascii="Times New Roman" w:hAnsi="Times New Roman"/>
                <w:color w:val="auto"/>
                <w:szCs w:val="21"/>
                <w:highlight w:val="none"/>
              </w:rPr>
            </w:pPr>
          </w:p>
        </w:tc>
        <w:tc>
          <w:tcPr>
            <w:tcW w:w="624" w:type="dxa"/>
            <w:vMerge w:val="continue"/>
            <w:noWrap w:val="0"/>
            <w:vAlign w:val="top"/>
          </w:tcPr>
          <w:p w14:paraId="79685BFA">
            <w:pPr>
              <w:pStyle w:val="8"/>
              <w:keepNext w:val="0"/>
              <w:keepLines w:val="0"/>
              <w:suppressLineNumbers w:val="0"/>
              <w:spacing w:before="0" w:beforeAutospacing="0" w:after="0" w:afterAutospacing="0" w:line="160" w:lineRule="atLeast"/>
              <w:ind w:left="0" w:right="0"/>
              <w:rPr>
                <w:rFonts w:hint="default" w:ascii="Times New Roman" w:hAnsi="Times New Roman"/>
                <w:color w:val="auto"/>
                <w:szCs w:val="21"/>
                <w:highlight w:val="none"/>
              </w:rPr>
            </w:pPr>
          </w:p>
        </w:tc>
        <w:tc>
          <w:tcPr>
            <w:tcW w:w="1134" w:type="dxa"/>
            <w:vMerge w:val="continue"/>
            <w:noWrap w:val="0"/>
            <w:vAlign w:val="center"/>
          </w:tcPr>
          <w:p w14:paraId="537E73A0">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5488121D">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44F88820">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投标人对于服务承诺及保证措施安排较完善，得3－4分；</w:t>
            </w:r>
          </w:p>
        </w:tc>
      </w:tr>
      <w:tr w14:paraId="1376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54518EF8">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564A7179">
            <w:pPr>
              <w:pStyle w:val="8"/>
              <w:keepNext w:val="0"/>
              <w:keepLines w:val="0"/>
              <w:suppressLineNumbers w:val="0"/>
              <w:spacing w:before="0" w:beforeAutospacing="0" w:after="0" w:afterAutospacing="0" w:line="160" w:lineRule="atLeast"/>
              <w:ind w:left="0" w:right="0"/>
              <w:rPr>
                <w:rFonts w:hint="default" w:ascii="Times New Roman" w:hAnsi="Times New Roman"/>
                <w:color w:val="auto"/>
                <w:szCs w:val="21"/>
                <w:highlight w:val="none"/>
              </w:rPr>
            </w:pPr>
          </w:p>
        </w:tc>
        <w:tc>
          <w:tcPr>
            <w:tcW w:w="624" w:type="dxa"/>
            <w:vMerge w:val="continue"/>
            <w:noWrap w:val="0"/>
            <w:vAlign w:val="top"/>
          </w:tcPr>
          <w:p w14:paraId="21147F73">
            <w:pPr>
              <w:pStyle w:val="8"/>
              <w:keepNext w:val="0"/>
              <w:keepLines w:val="0"/>
              <w:suppressLineNumbers w:val="0"/>
              <w:spacing w:before="0" w:beforeAutospacing="0" w:after="0" w:afterAutospacing="0" w:line="160" w:lineRule="atLeast"/>
              <w:ind w:left="0" w:right="0"/>
              <w:rPr>
                <w:rFonts w:hint="default" w:ascii="Times New Roman" w:hAnsi="Times New Roman"/>
                <w:color w:val="auto"/>
                <w:szCs w:val="21"/>
                <w:highlight w:val="none"/>
              </w:rPr>
            </w:pPr>
          </w:p>
        </w:tc>
        <w:tc>
          <w:tcPr>
            <w:tcW w:w="1134" w:type="dxa"/>
            <w:vMerge w:val="continue"/>
            <w:tcBorders>
              <w:bottom w:val="single" w:color="auto" w:sz="4" w:space="0"/>
            </w:tcBorders>
            <w:noWrap w:val="0"/>
            <w:vAlign w:val="center"/>
          </w:tcPr>
          <w:p w14:paraId="4317B721">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tcBorders>
              <w:bottom w:val="single" w:color="auto" w:sz="4" w:space="0"/>
            </w:tcBorders>
            <w:noWrap w:val="0"/>
            <w:vAlign w:val="center"/>
          </w:tcPr>
          <w:p w14:paraId="5558BD8A">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tcBorders>
              <w:bottom w:val="single" w:color="auto" w:sz="4" w:space="0"/>
            </w:tcBorders>
            <w:noWrap w:val="0"/>
            <w:vAlign w:val="center"/>
          </w:tcPr>
          <w:p w14:paraId="0FEC7238">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投标人对于服务承诺及保证措施安排完善合理，得4－5分。</w:t>
            </w:r>
          </w:p>
        </w:tc>
      </w:tr>
      <w:tr w14:paraId="7846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41" w:type="dxa"/>
            <w:tcBorders>
              <w:top w:val="nil"/>
            </w:tcBorders>
            <w:noWrap w:val="0"/>
            <w:vAlign w:val="center"/>
          </w:tcPr>
          <w:p w14:paraId="769DE0A8">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2.2.4（2）</w:t>
            </w:r>
          </w:p>
        </w:tc>
        <w:tc>
          <w:tcPr>
            <w:tcW w:w="741" w:type="dxa"/>
            <w:tcBorders>
              <w:top w:val="nil"/>
            </w:tcBorders>
            <w:noWrap w:val="0"/>
            <w:vAlign w:val="center"/>
          </w:tcPr>
          <w:p w14:paraId="56E89713">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主要人员</w:t>
            </w:r>
          </w:p>
        </w:tc>
        <w:tc>
          <w:tcPr>
            <w:tcW w:w="624" w:type="dxa"/>
            <w:tcBorders>
              <w:top w:val="nil"/>
            </w:tcBorders>
            <w:noWrap w:val="0"/>
            <w:vAlign w:val="center"/>
          </w:tcPr>
          <w:p w14:paraId="3E7C4ABC">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10</w:t>
            </w:r>
            <w:r>
              <w:rPr>
                <w:rFonts w:hint="default" w:ascii="Times New Roman" w:hAnsi="Times New Roman"/>
                <w:color w:val="auto"/>
                <w:szCs w:val="21"/>
                <w:highlight w:val="none"/>
              </w:rPr>
              <w:t>分</w:t>
            </w:r>
          </w:p>
        </w:tc>
        <w:tc>
          <w:tcPr>
            <w:tcW w:w="1134" w:type="dxa"/>
            <w:noWrap w:val="0"/>
            <w:vAlign w:val="center"/>
          </w:tcPr>
          <w:p w14:paraId="6A2A35C0">
            <w:pPr>
              <w:keepNext w:val="0"/>
              <w:keepLines w:val="0"/>
              <w:suppressLineNumbers w:val="0"/>
              <w:spacing w:before="0" w:beforeAutospacing="0" w:after="0" w:afterAutospacing="0"/>
              <w:ind w:left="0" w:right="0"/>
              <w:jc w:val="center"/>
              <w:rPr>
                <w:rFonts w:hint="default"/>
                <w:color w:val="auto"/>
                <w:kern w:val="2"/>
                <w:sz w:val="21"/>
                <w:szCs w:val="21"/>
                <w:highlight w:val="none"/>
              </w:rPr>
            </w:pPr>
            <w:r>
              <w:rPr>
                <w:rFonts w:hint="default"/>
                <w:color w:val="auto"/>
                <w:kern w:val="2"/>
                <w:sz w:val="21"/>
                <w:szCs w:val="21"/>
                <w:highlight w:val="none"/>
              </w:rPr>
              <w:t>项目负责人</w:t>
            </w:r>
          </w:p>
        </w:tc>
        <w:tc>
          <w:tcPr>
            <w:tcW w:w="567" w:type="dxa"/>
            <w:noWrap w:val="0"/>
            <w:vAlign w:val="center"/>
          </w:tcPr>
          <w:p w14:paraId="77B48944">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10</w:t>
            </w:r>
            <w:r>
              <w:rPr>
                <w:rFonts w:hint="default" w:ascii="Times New Roman" w:hAnsi="Times New Roman"/>
                <w:color w:val="auto"/>
                <w:szCs w:val="21"/>
                <w:highlight w:val="none"/>
              </w:rPr>
              <w:t>分</w:t>
            </w:r>
          </w:p>
        </w:tc>
        <w:tc>
          <w:tcPr>
            <w:tcW w:w="5845" w:type="dxa"/>
            <w:tcBorders>
              <w:bottom w:val="single" w:color="auto" w:sz="4" w:space="0"/>
            </w:tcBorders>
            <w:noWrap w:val="0"/>
            <w:vAlign w:val="center"/>
          </w:tcPr>
          <w:p w14:paraId="64B2AB59">
            <w:pPr>
              <w:pStyle w:val="2"/>
              <w:keepNext w:val="0"/>
              <w:keepLines w:val="0"/>
              <w:suppressLineNumbers w:val="0"/>
              <w:spacing w:before="0" w:beforeAutospacing="0" w:afterAutospacing="0"/>
              <w:ind w:left="0" w:right="0"/>
              <w:rPr>
                <w:rFonts w:hint="eastAsia" w:eastAsia="宋体"/>
                <w:color w:val="auto"/>
                <w:highlight w:val="none"/>
                <w:lang w:eastAsia="zh-CN"/>
              </w:rPr>
            </w:pPr>
            <w:r>
              <w:rPr>
                <w:rFonts w:hint="default"/>
                <w:color w:val="auto"/>
                <w:sz w:val="21"/>
                <w:highlight w:val="none"/>
              </w:rPr>
              <w:t>投标人满足“资格审查条件（</w:t>
            </w:r>
            <w:r>
              <w:rPr>
                <w:rFonts w:hint="eastAsia"/>
                <w:color w:val="auto"/>
                <w:sz w:val="21"/>
                <w:highlight w:val="none"/>
              </w:rPr>
              <w:t>项目负责人</w:t>
            </w:r>
            <w:r>
              <w:rPr>
                <w:rFonts w:hint="default"/>
                <w:color w:val="auto"/>
                <w:sz w:val="21"/>
                <w:highlight w:val="none"/>
              </w:rPr>
              <w:t>最低要求）”</w:t>
            </w:r>
            <w:r>
              <w:rPr>
                <w:rFonts w:hint="eastAsia"/>
                <w:color w:val="auto"/>
                <w:sz w:val="21"/>
                <w:highlight w:val="none"/>
              </w:rPr>
              <w:t>得</w:t>
            </w:r>
            <w:r>
              <w:rPr>
                <w:rFonts w:hint="eastAsia"/>
                <w:color w:val="auto"/>
                <w:sz w:val="21"/>
                <w:highlight w:val="none"/>
                <w:lang w:val="en-US" w:eastAsia="zh-CN"/>
              </w:rPr>
              <w:t>6</w:t>
            </w:r>
            <w:r>
              <w:rPr>
                <w:rFonts w:hint="eastAsia"/>
                <w:color w:val="auto"/>
                <w:sz w:val="21"/>
                <w:highlight w:val="none"/>
              </w:rPr>
              <w:t>分</w:t>
            </w:r>
            <w:r>
              <w:rPr>
                <w:rFonts w:hint="default"/>
                <w:color w:val="auto"/>
                <w:sz w:val="21"/>
                <w:highlight w:val="none"/>
              </w:rPr>
              <w:t>，每增加1</w:t>
            </w:r>
            <w:r>
              <w:rPr>
                <w:rFonts w:hint="eastAsia"/>
                <w:color w:val="auto"/>
                <w:sz w:val="21"/>
                <w:highlight w:val="none"/>
                <w:lang w:val="en-US" w:eastAsia="zh-CN"/>
              </w:rPr>
              <w:t>项</w:t>
            </w:r>
            <w:r>
              <w:rPr>
                <w:rFonts w:hint="default"/>
                <w:color w:val="auto"/>
                <w:sz w:val="21"/>
                <w:highlight w:val="none"/>
              </w:rPr>
              <w:t>满足“资格审查条件（</w:t>
            </w:r>
            <w:r>
              <w:rPr>
                <w:rFonts w:hint="eastAsia"/>
                <w:color w:val="auto"/>
                <w:sz w:val="21"/>
                <w:highlight w:val="none"/>
              </w:rPr>
              <w:t>项目负责人</w:t>
            </w:r>
            <w:r>
              <w:rPr>
                <w:rFonts w:hint="default"/>
                <w:color w:val="auto"/>
                <w:sz w:val="21"/>
                <w:highlight w:val="none"/>
              </w:rPr>
              <w:t>最低要求）”的业绩加</w:t>
            </w:r>
            <w:r>
              <w:rPr>
                <w:rFonts w:hint="eastAsia"/>
                <w:color w:val="auto"/>
                <w:sz w:val="21"/>
                <w:highlight w:val="none"/>
                <w:lang w:val="en-US" w:eastAsia="zh-CN"/>
              </w:rPr>
              <w:t>2</w:t>
            </w:r>
            <w:r>
              <w:rPr>
                <w:rFonts w:hint="eastAsia"/>
                <w:color w:val="auto"/>
                <w:sz w:val="21"/>
                <w:highlight w:val="none"/>
              </w:rPr>
              <w:t>分，最多加</w:t>
            </w:r>
            <w:r>
              <w:rPr>
                <w:rFonts w:hint="eastAsia"/>
                <w:color w:val="auto"/>
                <w:sz w:val="21"/>
                <w:highlight w:val="none"/>
                <w:lang w:val="en-US" w:eastAsia="zh-CN"/>
              </w:rPr>
              <w:t>4</w:t>
            </w:r>
            <w:r>
              <w:rPr>
                <w:rFonts w:hint="eastAsia"/>
                <w:color w:val="auto"/>
                <w:sz w:val="21"/>
                <w:highlight w:val="none"/>
              </w:rPr>
              <w:t>分。</w:t>
            </w:r>
          </w:p>
        </w:tc>
      </w:tr>
      <w:tr w14:paraId="61BB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14:paraId="44481C2E">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2.2.4（3）</w:t>
            </w:r>
          </w:p>
        </w:tc>
        <w:tc>
          <w:tcPr>
            <w:tcW w:w="741" w:type="dxa"/>
            <w:tcBorders>
              <w:top w:val="nil"/>
            </w:tcBorders>
            <w:noWrap w:val="0"/>
            <w:vAlign w:val="center"/>
          </w:tcPr>
          <w:p w14:paraId="72758AA2">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评标价</w:t>
            </w:r>
          </w:p>
        </w:tc>
        <w:tc>
          <w:tcPr>
            <w:tcW w:w="624" w:type="dxa"/>
            <w:tcBorders>
              <w:top w:val="nil"/>
              <w:bottom w:val="single" w:color="auto" w:sz="4" w:space="0"/>
            </w:tcBorders>
            <w:noWrap w:val="0"/>
            <w:vAlign w:val="center"/>
          </w:tcPr>
          <w:p w14:paraId="17CEA858">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3</w:t>
            </w:r>
            <w:r>
              <w:rPr>
                <w:rFonts w:hint="default" w:ascii="Times New Roman" w:hAnsi="Times New Roman"/>
                <w:color w:val="auto"/>
                <w:szCs w:val="21"/>
                <w:highlight w:val="none"/>
              </w:rPr>
              <w:t>0分</w:t>
            </w:r>
          </w:p>
        </w:tc>
        <w:tc>
          <w:tcPr>
            <w:tcW w:w="7546" w:type="dxa"/>
            <w:gridSpan w:val="3"/>
            <w:tcBorders>
              <w:bottom w:val="single" w:color="auto" w:sz="4" w:space="0"/>
            </w:tcBorders>
            <w:noWrap w:val="0"/>
            <w:vAlign w:val="center"/>
          </w:tcPr>
          <w:p w14:paraId="317B1376">
            <w:pPr>
              <w:keepNext w:val="0"/>
              <w:keepLines w:val="0"/>
              <w:suppressLineNumbers w:val="0"/>
              <w:spacing w:before="0" w:beforeAutospacing="0" w:after="0" w:afterAutospacing="0"/>
              <w:ind w:left="0" w:right="0"/>
              <w:jc w:val="left"/>
              <w:rPr>
                <w:rFonts w:hint="default"/>
                <w:color w:val="auto"/>
                <w:kern w:val="2"/>
                <w:sz w:val="21"/>
                <w:szCs w:val="21"/>
                <w:highlight w:val="none"/>
              </w:rPr>
            </w:pPr>
            <w:r>
              <w:rPr>
                <w:rFonts w:hint="default"/>
                <w:color w:val="auto"/>
                <w:kern w:val="2"/>
                <w:sz w:val="21"/>
                <w:szCs w:val="21"/>
                <w:highlight w:val="none"/>
              </w:rPr>
              <w:t>评标价得分计算公式：</w:t>
            </w:r>
          </w:p>
          <w:p w14:paraId="4C9C6FB6">
            <w:pPr>
              <w:keepNext w:val="0"/>
              <w:keepLines w:val="0"/>
              <w:suppressLineNumbers w:val="0"/>
              <w:spacing w:before="0" w:beforeAutospacing="0" w:after="0" w:afterAutospacing="0"/>
              <w:ind w:left="0" w:right="0"/>
              <w:rPr>
                <w:rFonts w:hint="default"/>
                <w:color w:val="auto"/>
                <w:kern w:val="2"/>
                <w:sz w:val="21"/>
                <w:szCs w:val="21"/>
                <w:highlight w:val="none"/>
              </w:rPr>
            </w:pPr>
            <w:r>
              <w:rPr>
                <w:rFonts w:hint="default"/>
                <w:color w:val="auto"/>
                <w:kern w:val="2"/>
                <w:sz w:val="21"/>
                <w:szCs w:val="21"/>
                <w:highlight w:val="none"/>
              </w:rPr>
              <w:t>（1）如果投标人的评标价＞评标基准价，则评标价得分=F-（投标人评标价-评标基准价）/评标基准价×100×E1；</w:t>
            </w:r>
          </w:p>
          <w:p w14:paraId="3779E2A2">
            <w:pPr>
              <w:keepNext w:val="0"/>
              <w:keepLines w:val="0"/>
              <w:suppressLineNumbers w:val="0"/>
              <w:spacing w:before="0" w:beforeAutospacing="0" w:after="0" w:afterAutospacing="0"/>
              <w:ind w:left="0" w:right="0"/>
              <w:rPr>
                <w:rFonts w:hint="default"/>
                <w:color w:val="auto"/>
                <w:kern w:val="2"/>
                <w:sz w:val="21"/>
                <w:szCs w:val="21"/>
                <w:highlight w:val="none"/>
              </w:rPr>
            </w:pPr>
            <w:r>
              <w:rPr>
                <w:rFonts w:hint="default"/>
                <w:color w:val="auto"/>
                <w:kern w:val="2"/>
                <w:sz w:val="21"/>
                <w:szCs w:val="21"/>
                <w:highlight w:val="none"/>
              </w:rPr>
              <w:t>（2）如果投标人的评标价≤评标基准价，则评标价得分=F+（投标人评标价-评标基准价）/评标基准价×100×E2。</w:t>
            </w:r>
          </w:p>
          <w:p w14:paraId="72483C54">
            <w:pPr>
              <w:keepNext w:val="0"/>
              <w:keepLines w:val="0"/>
              <w:suppressLineNumbers w:val="0"/>
              <w:spacing w:before="0" w:beforeAutospacing="0" w:after="0" w:afterAutospacing="0"/>
              <w:ind w:left="0" w:right="0"/>
              <w:jc w:val="left"/>
              <w:rPr>
                <w:rFonts w:hint="default"/>
                <w:color w:val="auto"/>
                <w:kern w:val="2"/>
                <w:sz w:val="21"/>
                <w:szCs w:val="21"/>
                <w:highlight w:val="none"/>
              </w:rPr>
            </w:pPr>
            <w:r>
              <w:rPr>
                <w:rFonts w:hint="default"/>
                <w:color w:val="auto"/>
                <w:kern w:val="2"/>
                <w:sz w:val="21"/>
                <w:szCs w:val="21"/>
                <w:highlight w:val="none"/>
              </w:rPr>
              <w:t>其中，F=</w:t>
            </w:r>
            <w:r>
              <w:rPr>
                <w:rFonts w:hint="eastAsia" w:ascii="Calibri" w:eastAsia="宋体"/>
                <w:color w:val="auto"/>
                <w:kern w:val="2"/>
                <w:sz w:val="21"/>
                <w:szCs w:val="21"/>
                <w:highlight w:val="none"/>
                <w:lang w:val="en-US" w:eastAsia="zh-CN"/>
              </w:rPr>
              <w:t>3</w:t>
            </w:r>
            <w:r>
              <w:rPr>
                <w:rFonts w:hint="default"/>
                <w:color w:val="auto"/>
                <w:kern w:val="2"/>
                <w:sz w:val="21"/>
                <w:szCs w:val="21"/>
                <w:highlight w:val="none"/>
              </w:rPr>
              <w:t>0；E1=0.</w:t>
            </w:r>
            <w:r>
              <w:rPr>
                <w:rFonts w:hint="eastAsia" w:ascii="Calibri" w:eastAsia="宋体"/>
                <w:color w:val="auto"/>
                <w:kern w:val="2"/>
                <w:sz w:val="21"/>
                <w:szCs w:val="21"/>
                <w:highlight w:val="none"/>
                <w:lang w:val="en-US" w:eastAsia="zh-CN"/>
              </w:rPr>
              <w:t>4</w:t>
            </w:r>
            <w:r>
              <w:rPr>
                <w:rFonts w:hint="default"/>
                <w:color w:val="auto"/>
                <w:kern w:val="2"/>
                <w:sz w:val="21"/>
                <w:szCs w:val="21"/>
                <w:highlight w:val="none"/>
              </w:rPr>
              <w:t>；E2=0.</w:t>
            </w:r>
            <w:r>
              <w:rPr>
                <w:rFonts w:hint="eastAsia" w:ascii="Calibri" w:eastAsia="宋体"/>
                <w:color w:val="auto"/>
                <w:kern w:val="2"/>
                <w:sz w:val="21"/>
                <w:szCs w:val="21"/>
                <w:highlight w:val="none"/>
                <w:lang w:val="en-US" w:eastAsia="zh-CN"/>
              </w:rPr>
              <w:t>2</w:t>
            </w:r>
            <w:r>
              <w:rPr>
                <w:rFonts w:hint="default"/>
                <w:color w:val="auto"/>
                <w:kern w:val="2"/>
                <w:sz w:val="21"/>
                <w:szCs w:val="21"/>
                <w:highlight w:val="none"/>
              </w:rPr>
              <w:t>；评标价最低得分为0分。得分保留两位小数。</w:t>
            </w:r>
          </w:p>
        </w:tc>
      </w:tr>
      <w:tr w14:paraId="5B99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215E6B1E">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2.2.4（4）</w:t>
            </w:r>
          </w:p>
        </w:tc>
        <w:tc>
          <w:tcPr>
            <w:tcW w:w="741" w:type="dxa"/>
            <w:noWrap w:val="0"/>
            <w:vAlign w:val="center"/>
          </w:tcPr>
          <w:p w14:paraId="62F19F75">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其他因素</w:t>
            </w:r>
          </w:p>
        </w:tc>
        <w:tc>
          <w:tcPr>
            <w:tcW w:w="624" w:type="dxa"/>
            <w:tcBorders>
              <w:top w:val="single" w:color="auto" w:sz="4" w:space="0"/>
            </w:tcBorders>
            <w:noWrap w:val="0"/>
            <w:vAlign w:val="center"/>
          </w:tcPr>
          <w:p w14:paraId="243F3D93">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w:t>
            </w:r>
            <w:r>
              <w:rPr>
                <w:rFonts w:hint="eastAsia" w:ascii="Times New Roman" w:hAnsi="Times New Roman"/>
                <w:color w:val="auto"/>
                <w:szCs w:val="21"/>
                <w:highlight w:val="none"/>
              </w:rPr>
              <w:t>0</w:t>
            </w:r>
            <w:r>
              <w:rPr>
                <w:rFonts w:hint="default" w:ascii="Times New Roman" w:hAnsi="Times New Roman"/>
                <w:color w:val="auto"/>
                <w:szCs w:val="21"/>
                <w:highlight w:val="none"/>
              </w:rPr>
              <w:t>分</w:t>
            </w:r>
          </w:p>
        </w:tc>
        <w:tc>
          <w:tcPr>
            <w:tcW w:w="1134" w:type="dxa"/>
            <w:tcBorders>
              <w:top w:val="single" w:color="auto" w:sz="4" w:space="0"/>
            </w:tcBorders>
            <w:noWrap w:val="0"/>
            <w:vAlign w:val="center"/>
          </w:tcPr>
          <w:p w14:paraId="7BC44431">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业绩</w:t>
            </w:r>
          </w:p>
        </w:tc>
        <w:tc>
          <w:tcPr>
            <w:tcW w:w="567" w:type="dxa"/>
            <w:tcBorders>
              <w:top w:val="single" w:color="auto" w:sz="4" w:space="0"/>
            </w:tcBorders>
            <w:noWrap w:val="0"/>
            <w:vAlign w:val="center"/>
          </w:tcPr>
          <w:p w14:paraId="6A82A507">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w:t>
            </w:r>
            <w:r>
              <w:rPr>
                <w:rFonts w:hint="eastAsia" w:ascii="Times New Roman" w:hAnsi="Times New Roman"/>
                <w:color w:val="auto"/>
                <w:szCs w:val="21"/>
                <w:highlight w:val="none"/>
              </w:rPr>
              <w:t>0</w:t>
            </w:r>
            <w:r>
              <w:rPr>
                <w:rFonts w:hint="default" w:ascii="Times New Roman" w:hAnsi="Times New Roman"/>
                <w:color w:val="auto"/>
                <w:szCs w:val="21"/>
                <w:highlight w:val="none"/>
              </w:rPr>
              <w:t>分</w:t>
            </w:r>
          </w:p>
        </w:tc>
        <w:tc>
          <w:tcPr>
            <w:tcW w:w="5845" w:type="dxa"/>
            <w:tcBorders>
              <w:top w:val="single" w:color="auto" w:sz="4" w:space="0"/>
            </w:tcBorders>
            <w:noWrap w:val="0"/>
            <w:vAlign w:val="center"/>
          </w:tcPr>
          <w:p w14:paraId="548799BC">
            <w:pPr>
              <w:keepNext w:val="0"/>
              <w:keepLines w:val="0"/>
              <w:suppressLineNumbers w:val="0"/>
              <w:spacing w:before="0" w:beforeAutospacing="0" w:after="0" w:afterAutospacing="0"/>
              <w:ind w:left="0" w:right="0"/>
              <w:rPr>
                <w:rFonts w:hint="default"/>
                <w:color w:val="auto"/>
                <w:kern w:val="2"/>
                <w:sz w:val="21"/>
                <w:szCs w:val="21"/>
                <w:highlight w:val="none"/>
              </w:rPr>
            </w:pPr>
            <w:r>
              <w:rPr>
                <w:rFonts w:hint="default"/>
                <w:color w:val="auto"/>
                <w:kern w:val="2"/>
                <w:sz w:val="21"/>
                <w:szCs w:val="21"/>
                <w:highlight w:val="none"/>
              </w:rPr>
              <w:t>满足</w:t>
            </w:r>
            <w:r>
              <w:rPr>
                <w:rFonts w:hint="eastAsia"/>
                <w:color w:val="auto"/>
                <w:kern w:val="2"/>
                <w:sz w:val="21"/>
                <w:szCs w:val="21"/>
                <w:highlight w:val="none"/>
              </w:rPr>
              <w:t>“</w:t>
            </w:r>
            <w:r>
              <w:rPr>
                <w:rFonts w:hint="default"/>
                <w:color w:val="auto"/>
                <w:kern w:val="2"/>
                <w:sz w:val="21"/>
                <w:szCs w:val="21"/>
                <w:highlight w:val="none"/>
              </w:rPr>
              <w:t>资格审查条件（业绩最低要求）</w:t>
            </w:r>
            <w:r>
              <w:rPr>
                <w:rFonts w:hint="eastAsia"/>
                <w:color w:val="auto"/>
                <w:kern w:val="2"/>
                <w:sz w:val="21"/>
                <w:szCs w:val="21"/>
                <w:highlight w:val="none"/>
              </w:rPr>
              <w:t>”</w:t>
            </w:r>
            <w:r>
              <w:rPr>
                <w:rFonts w:hint="default"/>
                <w:color w:val="auto"/>
                <w:kern w:val="2"/>
                <w:sz w:val="21"/>
                <w:szCs w:val="21"/>
                <w:highlight w:val="none"/>
              </w:rPr>
              <w:t>得</w:t>
            </w:r>
            <w:r>
              <w:rPr>
                <w:rFonts w:hint="eastAsia"/>
                <w:color w:val="auto"/>
                <w:kern w:val="2"/>
                <w:sz w:val="21"/>
                <w:szCs w:val="21"/>
                <w:highlight w:val="none"/>
              </w:rPr>
              <w:t>12</w:t>
            </w:r>
            <w:r>
              <w:rPr>
                <w:rFonts w:hint="default"/>
                <w:color w:val="auto"/>
                <w:kern w:val="2"/>
                <w:sz w:val="21"/>
                <w:szCs w:val="21"/>
                <w:highlight w:val="none"/>
              </w:rPr>
              <w:t>分；</w:t>
            </w:r>
          </w:p>
          <w:p w14:paraId="61BB114B">
            <w:pPr>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kern w:val="2"/>
                <w:sz w:val="21"/>
                <w:szCs w:val="21"/>
                <w:highlight w:val="none"/>
              </w:rPr>
              <w:t>每增加一</w:t>
            </w:r>
            <w:r>
              <w:rPr>
                <w:rFonts w:hint="eastAsia" w:ascii="Calibri" w:eastAsia="宋体"/>
                <w:color w:val="auto"/>
                <w:kern w:val="2"/>
                <w:sz w:val="21"/>
                <w:szCs w:val="21"/>
                <w:highlight w:val="none"/>
                <w:lang w:val="en-US" w:eastAsia="zh-CN"/>
              </w:rPr>
              <w:t>项</w:t>
            </w:r>
            <w:r>
              <w:rPr>
                <w:rFonts w:hint="default"/>
                <w:color w:val="auto"/>
                <w:kern w:val="2"/>
                <w:sz w:val="21"/>
                <w:szCs w:val="21"/>
                <w:highlight w:val="none"/>
              </w:rPr>
              <w:t>满足</w:t>
            </w:r>
            <w:r>
              <w:rPr>
                <w:rFonts w:hint="eastAsia"/>
                <w:color w:val="auto"/>
                <w:kern w:val="2"/>
                <w:sz w:val="21"/>
                <w:szCs w:val="21"/>
                <w:highlight w:val="none"/>
              </w:rPr>
              <w:t>“</w:t>
            </w:r>
            <w:r>
              <w:rPr>
                <w:rFonts w:hint="default"/>
                <w:color w:val="auto"/>
                <w:kern w:val="2"/>
                <w:sz w:val="21"/>
                <w:szCs w:val="21"/>
                <w:highlight w:val="none"/>
              </w:rPr>
              <w:t>资格审查条件（业绩最低要求）</w:t>
            </w:r>
            <w:r>
              <w:rPr>
                <w:rFonts w:hint="eastAsia"/>
                <w:color w:val="auto"/>
                <w:kern w:val="2"/>
                <w:sz w:val="21"/>
                <w:szCs w:val="21"/>
                <w:highlight w:val="none"/>
              </w:rPr>
              <w:t>”</w:t>
            </w:r>
            <w:r>
              <w:rPr>
                <w:rFonts w:hint="default"/>
                <w:color w:val="auto"/>
                <w:kern w:val="2"/>
                <w:sz w:val="21"/>
                <w:szCs w:val="21"/>
                <w:highlight w:val="none"/>
              </w:rPr>
              <w:t>的业绩，加</w:t>
            </w:r>
            <w:r>
              <w:rPr>
                <w:rFonts w:hint="eastAsia"/>
                <w:color w:val="auto"/>
                <w:kern w:val="2"/>
                <w:sz w:val="21"/>
                <w:szCs w:val="21"/>
                <w:highlight w:val="none"/>
              </w:rPr>
              <w:t>4</w:t>
            </w:r>
            <w:r>
              <w:rPr>
                <w:rFonts w:hint="default"/>
                <w:color w:val="auto"/>
                <w:kern w:val="2"/>
                <w:sz w:val="21"/>
                <w:szCs w:val="21"/>
                <w:highlight w:val="none"/>
              </w:rPr>
              <w:t>分，最多加</w:t>
            </w:r>
            <w:r>
              <w:rPr>
                <w:rFonts w:hint="eastAsia"/>
                <w:color w:val="auto"/>
                <w:kern w:val="2"/>
                <w:sz w:val="21"/>
                <w:szCs w:val="21"/>
                <w:highlight w:val="none"/>
              </w:rPr>
              <w:t>8</w:t>
            </w:r>
            <w:r>
              <w:rPr>
                <w:rFonts w:hint="default"/>
                <w:color w:val="auto"/>
                <w:kern w:val="2"/>
                <w:sz w:val="21"/>
                <w:szCs w:val="21"/>
                <w:highlight w:val="none"/>
              </w:rPr>
              <w:t>分。</w:t>
            </w:r>
          </w:p>
        </w:tc>
      </w:tr>
    </w:tbl>
    <w:p w14:paraId="06A3E9F4">
      <w:pPr>
        <w:spacing w:line="24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注：1、第2.2.4（1）项各评委打分保留1位小数，投标人该项得分以各评委打分平均值计算所得，保留两位小数，第三位小数四舍五入。</w:t>
      </w:r>
    </w:p>
    <w:p w14:paraId="58BF16BE">
      <w:pPr>
        <w:pStyle w:val="18"/>
        <w:spacing w:line="240" w:lineRule="auto"/>
        <w:ind w:left="0" w:leftChars="0"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第2.2.4（1）项评</w:t>
      </w:r>
      <w:r>
        <w:rPr>
          <w:rFonts w:hint="eastAsia" w:ascii="宋体" w:hAnsi="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rPr>
        <w:t>因素</w:t>
      </w:r>
      <w:r>
        <w:rPr>
          <w:rFonts w:hint="eastAsia" w:ascii="宋体" w:hAnsi="宋体" w:cs="宋体"/>
          <w:color w:val="auto"/>
          <w:kern w:val="0"/>
          <w:sz w:val="21"/>
          <w:szCs w:val="21"/>
          <w:highlight w:val="none"/>
          <w:lang w:val="en-US" w:eastAsia="zh-CN"/>
        </w:rPr>
        <w:t>细分项</w:t>
      </w:r>
      <w:r>
        <w:rPr>
          <w:rFonts w:hint="eastAsia" w:ascii="宋体" w:hAnsi="宋体" w:eastAsia="宋体" w:cs="宋体"/>
          <w:color w:val="auto"/>
          <w:kern w:val="0"/>
          <w:sz w:val="21"/>
          <w:szCs w:val="21"/>
          <w:highlight w:val="none"/>
          <w:lang w:val="zh-CN"/>
        </w:rPr>
        <w:t>缺项则该项得0分。</w:t>
      </w:r>
    </w:p>
    <w:p w14:paraId="67F095C7">
      <w:pPr>
        <w:pStyle w:val="18"/>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各评分因素（资信业绩评分项除外）得分一般不得低于其权重分值的 60%，评标委员会成员对某一项评分因素的评分低于权重分值 60%的，应在评标报告中作出说明。</w:t>
      </w:r>
    </w:p>
    <w:p w14:paraId="30B7B9F5">
      <w:pPr>
        <w:rPr>
          <w:color w:val="auto"/>
          <w:highlight w:val="none"/>
        </w:rPr>
      </w:pPr>
      <w:bookmarkStart w:id="2" w:name="_GoBack"/>
      <w:bookmarkEnd w:id="2"/>
    </w:p>
    <w:sectPr>
      <w:headerReference r:id="rId6" w:type="default"/>
      <w:footerReference r:id="rId7" w:type="default"/>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2B69">
    <w:pPr>
      <w:pStyle w:val="9"/>
      <w:pBdr>
        <w:top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82728">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7E82728">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1DB9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5EE65">
    <w:pPr>
      <w:pStyle w:val="9"/>
      <w:pBdr>
        <w:top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D879B">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2D879B">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1737">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A5">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86F42"/>
    <w:rsid w:val="0ECD0571"/>
    <w:rsid w:val="11396325"/>
    <w:rsid w:val="14E0681B"/>
    <w:rsid w:val="1760460B"/>
    <w:rsid w:val="1E4F62D6"/>
    <w:rsid w:val="1F40383D"/>
    <w:rsid w:val="279B48E7"/>
    <w:rsid w:val="2896660E"/>
    <w:rsid w:val="2AE8488E"/>
    <w:rsid w:val="2EDF2AFC"/>
    <w:rsid w:val="33664DBE"/>
    <w:rsid w:val="35A574B6"/>
    <w:rsid w:val="395E67BE"/>
    <w:rsid w:val="39F049E4"/>
    <w:rsid w:val="3ABF5F61"/>
    <w:rsid w:val="42286BD6"/>
    <w:rsid w:val="444E2F6B"/>
    <w:rsid w:val="4A1273D5"/>
    <w:rsid w:val="4B080D08"/>
    <w:rsid w:val="4C01529A"/>
    <w:rsid w:val="4ECD1ABD"/>
    <w:rsid w:val="528205B6"/>
    <w:rsid w:val="54904D90"/>
    <w:rsid w:val="620072A5"/>
    <w:rsid w:val="62A806BA"/>
    <w:rsid w:val="643F511A"/>
    <w:rsid w:val="70786F42"/>
    <w:rsid w:val="72663C5F"/>
    <w:rsid w:val="7B804FE0"/>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宋体"/>
      <w:sz w:val="18"/>
      <w:szCs w:val="18"/>
      <w:lang w:val="en-US" w:eastAsia="en-US" w:bidi="ar-SA"/>
    </w:rPr>
  </w:style>
  <w:style w:type="paragraph" w:styleId="3">
    <w:name w:val="heading 1"/>
    <w:basedOn w:val="1"/>
    <w:next w:val="1"/>
    <w:link w:val="14"/>
    <w:qFormat/>
    <w:uiPriority w:val="0"/>
    <w:pPr>
      <w:keepNext/>
      <w:widowControl/>
      <w:spacing w:before="50" w:beforeLines="50" w:after="50" w:afterLines="50" w:line="360" w:lineRule="auto"/>
      <w:jc w:val="center"/>
      <w:outlineLvl w:val="0"/>
    </w:pPr>
    <w:rPr>
      <w:rFonts w:ascii="宋体" w:hAnsi="宋体" w:eastAsia="宋体" w:cs="宋体"/>
      <w:b/>
      <w:bCs/>
      <w:kern w:val="36"/>
      <w:sz w:val="40"/>
      <w:szCs w:val="32"/>
    </w:rPr>
  </w:style>
  <w:style w:type="paragraph" w:styleId="4">
    <w:name w:val="heading 2"/>
    <w:basedOn w:val="1"/>
    <w:next w:val="1"/>
    <w:link w:val="13"/>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5">
    <w:name w:val="heading 3"/>
    <w:basedOn w:val="1"/>
    <w:next w:val="1"/>
    <w:link w:val="15"/>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6">
    <w:name w:val="heading 4"/>
    <w:basedOn w:val="1"/>
    <w:next w:val="1"/>
    <w:link w:val="16"/>
    <w:semiHidden/>
    <w:unhideWhenUsed/>
    <w:qFormat/>
    <w:uiPriority w:val="0"/>
    <w:pPr>
      <w:ind w:left="237"/>
      <w:outlineLvl w:val="3"/>
    </w:pPr>
    <w:rPr>
      <w:rFonts w:ascii="宋体" w:hAnsi="宋体" w:eastAsia="宋体" w:cs="Times New Roman"/>
      <w:b/>
      <w:sz w:val="28"/>
      <w:szCs w:val="28"/>
      <w:lang w:eastAsia="en-US"/>
    </w:rPr>
  </w:style>
  <w:style w:type="paragraph" w:styleId="7">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12">
    <w:name w:val="Default Paragraph Font"/>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8">
    <w:name w:val="Plain Text"/>
    <w:basedOn w:val="1"/>
    <w:qFormat/>
    <w:uiPriority w:val="0"/>
    <w:rPr>
      <w:rFonts w:ascii="宋体" w:hAnsi="Courier New"/>
      <w:kern w:val="0"/>
      <w:sz w:val="20"/>
      <w:szCs w:val="20"/>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3">
    <w:name w:val="标题 2 Char"/>
    <w:basedOn w:val="12"/>
    <w:link w:val="4"/>
    <w:qFormat/>
    <w:uiPriority w:val="9"/>
    <w:rPr>
      <w:rFonts w:ascii="宋体" w:hAnsi="宋体" w:eastAsia="宋体" w:cs="宋体"/>
      <w:b/>
      <w:bCs/>
      <w:sz w:val="24"/>
      <w:szCs w:val="24"/>
      <w:lang w:eastAsia="en-US"/>
    </w:rPr>
  </w:style>
  <w:style w:type="character" w:customStyle="1" w:styleId="14">
    <w:name w:val="标题 1 Char"/>
    <w:basedOn w:val="12"/>
    <w:link w:val="3"/>
    <w:qFormat/>
    <w:uiPriority w:val="9"/>
    <w:rPr>
      <w:rFonts w:ascii="宋体" w:hAnsi="宋体" w:eastAsia="宋体" w:cs="宋体"/>
      <w:b/>
      <w:bCs/>
      <w:kern w:val="36"/>
      <w:sz w:val="40"/>
      <w:szCs w:val="32"/>
      <w:lang w:eastAsia="en-US"/>
    </w:rPr>
  </w:style>
  <w:style w:type="character" w:customStyle="1" w:styleId="15">
    <w:name w:val="标题 3 Char"/>
    <w:basedOn w:val="12"/>
    <w:link w:val="5"/>
    <w:qFormat/>
    <w:uiPriority w:val="9"/>
    <w:rPr>
      <w:rFonts w:ascii="宋体" w:hAnsi="宋体" w:eastAsia="宋体" w:cs="宋体"/>
      <w:b/>
      <w:bCs/>
      <w:kern w:val="0"/>
      <w:sz w:val="24"/>
      <w:szCs w:val="24"/>
      <w:lang w:eastAsia="en-US"/>
    </w:rPr>
  </w:style>
  <w:style w:type="character" w:customStyle="1" w:styleId="16">
    <w:name w:val="标题 4 字符"/>
    <w:link w:val="6"/>
    <w:qFormat/>
    <w:uiPriority w:val="0"/>
    <w:rPr>
      <w:rFonts w:ascii="宋体" w:hAnsi="宋体" w:eastAsia="宋体" w:cs="Times New Roman"/>
      <w:b/>
      <w:sz w:val="28"/>
      <w:szCs w:val="28"/>
      <w:lang w:eastAsia="en-US"/>
    </w:rPr>
  </w:style>
  <w:style w:type="character" w:customStyle="1" w:styleId="17">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8">
    <w:name w:val="正文首行缩进 21"/>
    <w:basedOn w:val="19"/>
    <w:qFormat/>
    <w:uiPriority w:val="0"/>
    <w:pPr>
      <w:ind w:firstLine="420"/>
    </w:pPr>
  </w:style>
  <w:style w:type="paragraph" w:customStyle="1" w:styleId="19">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2026-03-24T10:04:00Z</dcterms:created>
  <dc:creator>张宁</dc:creator>
  <cp:lastModifiedBy>张宁</cp:lastModifiedBy>
  <dcterms:modified xsi:type="dcterms:W3CDTF">2026-03-24T10:05:31Z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F5DC3320038C452CB2696C9F3D7F2369_11</vt:lpwstr>
  </property>
  <property fmtid="{D5CDD505-2E9C-101B-9397-08002B2CF9AE}" pid="4" name="KSOTemplateDocerSaveRecord">
    <vt:lpwstr>eyJoZGlkIjoiNGFjNGU5MGM1NzNmMGRmMGE0N2VjNjk3NDcyNTAwODYiLCJ1c2VySWQiOiIxNjgyOTM3NTgwIn0=</vt:lpwstr>
  </property>
</Properties>
</file>