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779B">
      <w:pPr>
        <w:pStyle w:val="3"/>
        <w:snapToGrid w:val="0"/>
        <w:spacing w:before="158" w:beforeLines="50" w:after="158" w:afterLines="50" w:line="240" w:lineRule="auto"/>
        <w:rPr>
          <w:rFonts w:hint="default" w:ascii="宋体" w:hAnsi="宋体"/>
          <w:sz w:val="24"/>
          <w:szCs w:val="24"/>
          <w:lang w:val="en-US"/>
        </w:rPr>
      </w:pPr>
      <w:bookmarkStart w:id="0" w:name="OLE_LINK3"/>
      <w:r>
        <w:rPr>
          <w:rFonts w:hint="eastAsia" w:ascii="宋体" w:hAnsi="宋体"/>
          <w:sz w:val="24"/>
          <w:szCs w:val="24"/>
        </w:rPr>
        <w:tab/>
      </w:r>
      <w:r>
        <w:rPr>
          <w:rFonts w:hint="eastAsia" w:ascii="宋体" w:hAnsi="宋体"/>
          <w:sz w:val="24"/>
          <w:szCs w:val="24"/>
          <w:lang w:val="en-US" w:eastAsia="zh-CN"/>
        </w:rPr>
        <w:t>附件1：资格审查条件</w:t>
      </w:r>
      <w:bookmarkStart w:id="27" w:name="_GoBack"/>
      <w:bookmarkEnd w:id="27"/>
    </w:p>
    <w:p w14:paraId="6F878121">
      <w:pPr>
        <w:jc w:val="center"/>
        <w:rPr>
          <w:rFonts w:hint="eastAsia" w:ascii="宋体" w:hAnsi="宋体"/>
          <w:b/>
          <w:sz w:val="24"/>
          <w:szCs w:val="24"/>
        </w:rPr>
      </w:pPr>
      <w:bookmarkStart w:id="1" w:name="_Toc4046"/>
      <w:bookmarkStart w:id="2" w:name="_Toc145426379"/>
      <w:bookmarkStart w:id="3" w:name="_Toc141780407"/>
      <w:bookmarkStart w:id="4" w:name="_Toc146031774"/>
      <w:bookmarkStart w:id="5" w:name="OLE_LINK1"/>
      <w:r>
        <w:rPr>
          <w:rFonts w:hint="eastAsia" w:ascii="宋体" w:hAnsi="宋体"/>
          <w:b/>
          <w:sz w:val="24"/>
          <w:szCs w:val="24"/>
        </w:rPr>
        <w:t>附录1  资格审查条件（资质最低要求）</w:t>
      </w:r>
    </w:p>
    <w:p w14:paraId="590B959B">
      <w:pPr>
        <w:jc w:val="center"/>
        <w:rPr>
          <w:rFonts w:hint="eastAsia" w:ascii="宋体" w:hAnsi="宋体"/>
          <w:b/>
          <w:sz w:val="24"/>
          <w:szCs w:val="24"/>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ED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vAlign w:val="center"/>
          </w:tcPr>
          <w:p w14:paraId="1AD4C453">
            <w:pPr>
              <w:keepNext w:val="0"/>
              <w:keepLines w:val="0"/>
              <w:suppressLineNumbers w:val="0"/>
              <w:adjustRightInd w:val="0"/>
              <w:snapToGrid w:val="0"/>
              <w:spacing w:before="0" w:beforeAutospacing="0" w:after="0" w:afterAutospacing="0" w:line="320" w:lineRule="exact"/>
              <w:ind w:left="-2" w:leftChars="-1" w:right="0"/>
              <w:jc w:val="center"/>
              <w:rPr>
                <w:rFonts w:hint="eastAsia" w:ascii="宋体" w:hAnsi="宋体"/>
                <w:szCs w:val="21"/>
              </w:rPr>
            </w:pPr>
            <w:r>
              <w:rPr>
                <w:rFonts w:hint="eastAsia" w:ascii="宋体" w:hAnsi="宋体"/>
                <w:szCs w:val="21"/>
              </w:rPr>
              <w:t>资质要求</w:t>
            </w:r>
          </w:p>
        </w:tc>
      </w:tr>
      <w:tr w14:paraId="7E19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000" w:type="pct"/>
            <w:vAlign w:val="center"/>
          </w:tcPr>
          <w:p w14:paraId="37221708">
            <w:pPr>
              <w:keepNext w:val="0"/>
              <w:keepLines w:val="0"/>
              <w:suppressLineNumbers w:val="0"/>
              <w:snapToGrid w:val="0"/>
              <w:spacing w:before="0" w:beforeAutospacing="0" w:after="0" w:afterAutospacing="0" w:line="320" w:lineRule="exact"/>
              <w:ind w:left="0" w:right="0"/>
              <w:rPr>
                <w:rFonts w:hint="eastAsia" w:ascii="宋体" w:hAnsi="宋体" w:eastAsia="宋体"/>
                <w:kern w:val="0"/>
                <w:szCs w:val="21"/>
                <w:lang w:val="en-US" w:eastAsia="zh-CN"/>
              </w:rPr>
            </w:pPr>
            <w:r>
              <w:rPr>
                <w:rFonts w:hint="eastAsia" w:ascii="宋体" w:hAnsi="宋体"/>
                <w:kern w:val="0"/>
                <w:szCs w:val="21"/>
              </w:rPr>
              <w:t>中华人民共和国境内的法人或其他组织，持有有效的</w:t>
            </w:r>
            <w:r>
              <w:rPr>
                <w:rFonts w:hint="eastAsia" w:ascii="宋体" w:hAnsi="宋体"/>
                <w:kern w:val="0"/>
                <w:szCs w:val="21"/>
                <w:lang w:eastAsia="zh-CN"/>
              </w:rPr>
              <w:t>企业</w:t>
            </w:r>
            <w:r>
              <w:rPr>
                <w:rFonts w:hint="eastAsia" w:ascii="宋体" w:hAnsi="宋体"/>
                <w:kern w:val="0"/>
                <w:szCs w:val="21"/>
              </w:rPr>
              <w:t>营业执照</w:t>
            </w:r>
            <w:r>
              <w:rPr>
                <w:rFonts w:hint="eastAsia" w:ascii="宋体" w:hAnsi="宋体"/>
                <w:kern w:val="0"/>
                <w:szCs w:val="21"/>
                <w:lang w:val="en-US" w:eastAsia="zh-CN"/>
              </w:rPr>
              <w:t>。</w:t>
            </w:r>
          </w:p>
        </w:tc>
      </w:tr>
    </w:tbl>
    <w:p w14:paraId="51C7CE72">
      <w:pPr>
        <w:rPr>
          <w:rFonts w:hint="eastAsia" w:ascii="宋体" w:hAnsi="宋体"/>
          <w:sz w:val="24"/>
          <w:szCs w:val="24"/>
        </w:rPr>
      </w:pPr>
    </w:p>
    <w:p w14:paraId="113B5AC1">
      <w:pPr>
        <w:rPr>
          <w:rFonts w:hint="eastAsia" w:ascii="宋体" w:hAnsi="宋体"/>
          <w:sz w:val="24"/>
          <w:szCs w:val="24"/>
        </w:rPr>
      </w:pPr>
    </w:p>
    <w:p w14:paraId="0B2F97E0">
      <w:pPr>
        <w:rPr>
          <w:rFonts w:hint="eastAsia" w:ascii="宋体" w:hAnsi="宋体"/>
          <w:sz w:val="24"/>
          <w:szCs w:val="24"/>
        </w:rPr>
      </w:pPr>
    </w:p>
    <w:p w14:paraId="4A40D5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szCs w:val="24"/>
        </w:rPr>
      </w:pPr>
      <w:r>
        <w:rPr>
          <w:rFonts w:hint="eastAsia" w:ascii="宋体" w:hAnsi="宋体"/>
          <w:b/>
          <w:sz w:val="24"/>
          <w:szCs w:val="24"/>
        </w:rPr>
        <w:t>附录2  资格审查条件（业绩最低要求）</w:t>
      </w:r>
    </w:p>
    <w:p w14:paraId="2EFAD366">
      <w:pPr>
        <w:jc w:val="center"/>
        <w:rPr>
          <w:rFonts w:hint="eastAsia" w:ascii="宋体" w:hAnsi="宋体"/>
          <w:b/>
          <w:sz w:val="24"/>
          <w:szCs w:val="24"/>
        </w:rPr>
      </w:pPr>
    </w:p>
    <w:tbl>
      <w:tblPr>
        <w:tblStyle w:val="8"/>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6A00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135" w:type="dxa"/>
            <w:vAlign w:val="center"/>
          </w:tcPr>
          <w:p w14:paraId="3D7A7B28">
            <w:pPr>
              <w:keepNext w:val="0"/>
              <w:keepLines w:val="0"/>
              <w:suppressLineNumbers w:val="0"/>
              <w:spacing w:before="0" w:beforeAutospacing="0" w:after="0" w:afterAutospacing="0"/>
              <w:ind w:left="0" w:right="0"/>
              <w:jc w:val="center"/>
              <w:rPr>
                <w:rFonts w:hint="eastAsia" w:ascii="宋体" w:hAnsi="宋体"/>
                <w:szCs w:val="21"/>
                <w:highlight w:val="none"/>
              </w:rPr>
            </w:pPr>
            <w:r>
              <w:rPr>
                <w:rFonts w:hint="eastAsia" w:ascii="宋体" w:hAnsi="宋体"/>
                <w:szCs w:val="21"/>
                <w:highlight w:val="none"/>
              </w:rPr>
              <w:t>业绩要求</w:t>
            </w:r>
          </w:p>
        </w:tc>
      </w:tr>
      <w:tr w14:paraId="6EE9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9135" w:type="dxa"/>
            <w:vAlign w:val="center"/>
          </w:tcPr>
          <w:p w14:paraId="7544E9E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textAlignment w:val="auto"/>
              <w:rPr>
                <w:rFonts w:hint="default" w:ascii="宋体" w:hAnsi="宋体" w:eastAsia="宋体"/>
                <w:kern w:val="0"/>
                <w:szCs w:val="21"/>
                <w:highlight w:val="none"/>
                <w:lang w:val="en-US" w:eastAsia="zh-CN"/>
              </w:rPr>
            </w:pPr>
            <w:r>
              <w:rPr>
                <w:rFonts w:hint="eastAsia" w:ascii="宋体" w:hAnsi="宋体"/>
                <w:color w:val="000000"/>
                <w:szCs w:val="21"/>
                <w:highlight w:val="none"/>
              </w:rPr>
              <w:t>投标人近3年内(2023年</w:t>
            </w:r>
            <w:r>
              <w:rPr>
                <w:rFonts w:hint="eastAsia" w:ascii="宋体" w:hAnsi="宋体"/>
                <w:color w:val="000000"/>
                <w:szCs w:val="21"/>
                <w:highlight w:val="none"/>
                <w:lang w:val="en-US" w:eastAsia="zh-CN"/>
              </w:rPr>
              <w:t>4</w:t>
            </w:r>
            <w:r>
              <w:rPr>
                <w:rFonts w:hint="eastAsia" w:ascii="宋体" w:hAnsi="宋体"/>
                <w:color w:val="000000"/>
                <w:szCs w:val="21"/>
                <w:highlight w:val="none"/>
              </w:rPr>
              <w:t>月1日至今，以合同签订时间为准)至少承担过一项社会责任报告或ESG报告或可持续发展报告编制相关业绩。</w:t>
            </w:r>
          </w:p>
        </w:tc>
      </w:tr>
    </w:tbl>
    <w:p w14:paraId="378E0550">
      <w:pPr>
        <w:widowControl/>
        <w:jc w:val="both"/>
        <w:rPr>
          <w:rFonts w:hint="eastAsia" w:ascii="宋体" w:hAnsi="宋体"/>
          <w:b/>
          <w:sz w:val="24"/>
          <w:szCs w:val="24"/>
        </w:rPr>
      </w:pPr>
    </w:p>
    <w:p w14:paraId="0B87CD82">
      <w:pPr>
        <w:widowControl/>
        <w:jc w:val="center"/>
        <w:rPr>
          <w:rFonts w:hint="eastAsia" w:ascii="宋体" w:hAnsi="宋体"/>
          <w:b/>
          <w:bCs/>
          <w:szCs w:val="21"/>
        </w:rPr>
      </w:pPr>
      <w:r>
        <w:rPr>
          <w:rFonts w:hint="eastAsia" w:ascii="宋体" w:hAnsi="宋体"/>
          <w:b/>
          <w:sz w:val="24"/>
          <w:szCs w:val="24"/>
        </w:rPr>
        <w:t>附</w:t>
      </w:r>
      <w:r>
        <w:rPr>
          <w:rFonts w:ascii="宋体" w:hAnsi="宋体"/>
          <w:b/>
          <w:bCs/>
          <w:sz w:val="24"/>
          <w:szCs w:val="24"/>
        </w:rPr>
        <w:t>录</w:t>
      </w:r>
      <w:r>
        <w:rPr>
          <w:rFonts w:hint="eastAsia" w:ascii="宋体" w:hAnsi="宋体"/>
          <w:b/>
          <w:bCs/>
          <w:sz w:val="24"/>
          <w:szCs w:val="24"/>
          <w:lang w:val="en-US" w:eastAsia="zh-CN"/>
        </w:rPr>
        <w:t>3</w:t>
      </w:r>
      <w:r>
        <w:rPr>
          <w:rFonts w:ascii="宋体" w:hAnsi="宋体"/>
          <w:b/>
          <w:bCs/>
          <w:sz w:val="24"/>
          <w:szCs w:val="24"/>
        </w:rPr>
        <w:t xml:space="preserve">  资格审查条件（信誉要求</w:t>
      </w:r>
      <w:r>
        <w:rPr>
          <w:rFonts w:hint="eastAsia" w:ascii="宋体" w:hAnsi="宋体"/>
          <w:b/>
          <w:bCs/>
          <w:szCs w:val="21"/>
        </w:rPr>
        <w:t>）</w:t>
      </w:r>
    </w:p>
    <w:p w14:paraId="66BE0809">
      <w:pPr>
        <w:pStyle w:val="7"/>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CA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000" w:type="pct"/>
            <w:vAlign w:val="center"/>
          </w:tcPr>
          <w:p w14:paraId="3D558694">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b/>
                <w:szCs w:val="21"/>
              </w:rPr>
            </w:pPr>
            <w:r>
              <w:rPr>
                <w:rFonts w:hint="default" w:ascii="宋体" w:hAnsi="宋体"/>
                <w:szCs w:val="21"/>
              </w:rPr>
              <w:t>信    誉</w:t>
            </w:r>
          </w:p>
        </w:tc>
      </w:tr>
      <w:tr w14:paraId="7735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5000" w:type="pct"/>
            <w:vAlign w:val="center"/>
          </w:tcPr>
          <w:p w14:paraId="5042B8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default" w:hAnsi="宋体"/>
                <w:sz w:val="21"/>
                <w:szCs w:val="21"/>
              </w:rPr>
            </w:pPr>
            <w:r>
              <w:rPr>
                <w:rFonts w:hint="eastAsia" w:ascii="宋体" w:hAnsi="宋体" w:eastAsia="宋体" w:cs="Times New Roman"/>
                <w:color w:val="000000"/>
                <w:szCs w:val="21"/>
                <w:highlight w:val="none"/>
              </w:rPr>
              <w:t>投标人过去1年(2025年</w:t>
            </w:r>
            <w:r>
              <w:rPr>
                <w:rFonts w:hint="eastAsia" w:ascii="宋体" w:hAnsi="宋体" w:cs="Times New Roman"/>
                <w:color w:val="000000"/>
                <w:szCs w:val="21"/>
                <w:highlight w:val="none"/>
                <w:lang w:val="en-US" w:eastAsia="zh-CN"/>
              </w:rPr>
              <w:t>4</w:t>
            </w:r>
            <w:r>
              <w:rPr>
                <w:rFonts w:hint="eastAsia" w:ascii="宋体" w:hAnsi="宋体" w:eastAsia="宋体" w:cs="Times New Roman"/>
                <w:color w:val="000000"/>
                <w:szCs w:val="21"/>
                <w:highlight w:val="none"/>
              </w:rPr>
              <w:t>月1日至今)不曾在社会责任报告或ESG报告或可持续发展报告编制合同中违约而被驱逐或因投标人自身的原因而使社会责任报告或ESG报告或可持续发展报告编制合同被解除。</w:t>
            </w:r>
          </w:p>
        </w:tc>
      </w:tr>
    </w:tbl>
    <w:p w14:paraId="54EE356F">
      <w:pPr>
        <w:jc w:val="both"/>
        <w:rPr>
          <w:rFonts w:hint="eastAsia" w:ascii="宋体" w:hAnsi="宋体" w:eastAsia="宋体" w:cs="Times New Roman"/>
          <w:b/>
          <w:sz w:val="24"/>
          <w:szCs w:val="24"/>
        </w:rPr>
      </w:pPr>
    </w:p>
    <w:p w14:paraId="7C5F4985">
      <w:pPr>
        <w:jc w:val="center"/>
        <w:rPr>
          <w:rFonts w:hint="eastAsia" w:ascii="宋体" w:hAnsi="宋体" w:eastAsia="宋体" w:cs="Times New Roman"/>
          <w:b/>
          <w:sz w:val="24"/>
          <w:szCs w:val="24"/>
        </w:rPr>
      </w:pPr>
      <w:r>
        <w:rPr>
          <w:rFonts w:hint="eastAsia" w:ascii="宋体" w:hAnsi="宋体" w:eastAsia="宋体" w:cs="Times New Roman"/>
          <w:b/>
          <w:sz w:val="24"/>
          <w:szCs w:val="24"/>
        </w:rPr>
        <w:t>附录</w:t>
      </w:r>
      <w:r>
        <w:rPr>
          <w:rFonts w:hint="eastAsia" w:ascii="宋体" w:hAnsi="宋体" w:eastAsia="宋体" w:cs="Times New Roman"/>
          <w:b/>
          <w:sz w:val="24"/>
          <w:szCs w:val="24"/>
          <w:lang w:val="en-US" w:eastAsia="zh-CN"/>
        </w:rPr>
        <w:t>4</w:t>
      </w:r>
      <w:r>
        <w:rPr>
          <w:rFonts w:hint="eastAsia" w:ascii="宋体" w:hAnsi="宋体" w:eastAsia="宋体" w:cs="Times New Roman"/>
          <w:b/>
          <w:sz w:val="24"/>
          <w:szCs w:val="24"/>
        </w:rPr>
        <w:t xml:space="preserve">  资格审查条件（</w:t>
      </w:r>
      <w:r>
        <w:rPr>
          <w:rFonts w:hint="eastAsia" w:ascii="宋体" w:hAnsi="宋体" w:cs="Times New Roman"/>
          <w:b/>
          <w:sz w:val="24"/>
          <w:szCs w:val="24"/>
          <w:lang w:val="en-US" w:eastAsia="zh-CN"/>
        </w:rPr>
        <w:t>项目负责人</w:t>
      </w:r>
      <w:r>
        <w:rPr>
          <w:rFonts w:hint="eastAsia" w:ascii="宋体" w:hAnsi="宋体" w:cs="Times New Roman"/>
          <w:b/>
          <w:sz w:val="24"/>
          <w:szCs w:val="24"/>
          <w:lang w:eastAsia="zh"/>
        </w:rPr>
        <w:t>最低</w:t>
      </w:r>
      <w:r>
        <w:rPr>
          <w:rFonts w:hint="eastAsia" w:ascii="宋体" w:hAnsi="宋体" w:eastAsia="宋体" w:cs="Times New Roman"/>
          <w:b/>
          <w:sz w:val="24"/>
          <w:szCs w:val="24"/>
        </w:rPr>
        <w:t>要求）</w:t>
      </w:r>
    </w:p>
    <w:p w14:paraId="56ABE9DD">
      <w:pPr>
        <w:pStyle w:val="7"/>
        <w:rPr>
          <w:rFonts w:hint="eastAsia"/>
        </w:rPr>
      </w:pPr>
    </w:p>
    <w:tbl>
      <w:tblPr>
        <w:tblStyle w:val="8"/>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717"/>
        <w:gridCol w:w="5387"/>
      </w:tblGrid>
      <w:tr w14:paraId="2DA8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06" w:type="pct"/>
            <w:vAlign w:val="center"/>
          </w:tcPr>
          <w:p w14:paraId="36248F16">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人  员</w:t>
            </w:r>
          </w:p>
        </w:tc>
        <w:tc>
          <w:tcPr>
            <w:tcW w:w="434" w:type="pct"/>
            <w:vAlign w:val="center"/>
          </w:tcPr>
          <w:p w14:paraId="6D851C44">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数量</w:t>
            </w:r>
          </w:p>
        </w:tc>
        <w:tc>
          <w:tcPr>
            <w:tcW w:w="3259" w:type="pct"/>
            <w:vAlign w:val="center"/>
          </w:tcPr>
          <w:p w14:paraId="3A1ED3DF">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Cs w:val="21"/>
              </w:rPr>
            </w:pPr>
            <w:r>
              <w:rPr>
                <w:rFonts w:hint="default" w:ascii="宋体" w:hAnsi="宋体"/>
                <w:szCs w:val="21"/>
              </w:rPr>
              <w:t>资 格 要 求</w:t>
            </w:r>
          </w:p>
        </w:tc>
      </w:tr>
      <w:tr w14:paraId="4369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306" w:type="pct"/>
            <w:vAlign w:val="center"/>
          </w:tcPr>
          <w:p w14:paraId="6B6B3EDB">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eastAsia" w:ascii="宋体" w:hAnsi="宋体"/>
                <w:szCs w:val="21"/>
                <w:highlight w:val="none"/>
                <w:lang w:eastAsia="zh-CN"/>
              </w:rPr>
            </w:pPr>
            <w:r>
              <w:rPr>
                <w:rFonts w:hint="eastAsia" w:ascii="宋体" w:hAnsi="宋体"/>
                <w:szCs w:val="21"/>
                <w:highlight w:val="none"/>
                <w:lang w:eastAsia="zh-CN"/>
              </w:rPr>
              <w:t>项目负责人</w:t>
            </w:r>
          </w:p>
          <w:p w14:paraId="66A92024">
            <w:pPr>
              <w:keepNext w:val="0"/>
              <w:keepLines w:val="0"/>
              <w:suppressLineNumbers w:val="0"/>
              <w:tabs>
                <w:tab w:val="left" w:pos="419"/>
              </w:tabs>
              <w:adjustRightInd w:val="0"/>
              <w:snapToGrid w:val="0"/>
              <w:spacing w:before="0" w:beforeAutospacing="0" w:after="0" w:afterAutospacing="0" w:line="360" w:lineRule="exact"/>
              <w:ind w:left="0" w:right="0"/>
              <w:jc w:val="center"/>
              <w:rPr>
                <w:rFonts w:hint="eastAsia" w:ascii="宋体" w:hAnsi="宋体"/>
                <w:szCs w:val="21"/>
                <w:highlight w:val="none"/>
                <w:lang w:val="en-US" w:eastAsia="zh-CN"/>
              </w:rPr>
            </w:pPr>
          </w:p>
        </w:tc>
        <w:tc>
          <w:tcPr>
            <w:tcW w:w="434" w:type="pct"/>
            <w:vAlign w:val="center"/>
          </w:tcPr>
          <w:p w14:paraId="75AE1B2C">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3259" w:type="pct"/>
            <w:vAlign w:val="center"/>
          </w:tcPr>
          <w:p w14:paraId="3464DE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color w:val="000000"/>
                <w:szCs w:val="21"/>
                <w:highlight w:val="none"/>
              </w:rPr>
            </w:pPr>
            <w:r>
              <w:rPr>
                <w:rFonts w:hint="eastAsia" w:ascii="宋体" w:hAnsi="宋体"/>
                <w:color w:val="000000"/>
                <w:szCs w:val="21"/>
                <w:highlight w:val="none"/>
                <w:lang w:eastAsia="zh-CN"/>
              </w:rPr>
              <w:t>近3年内(2023年</w:t>
            </w:r>
            <w:r>
              <w:rPr>
                <w:rFonts w:hint="eastAsia" w:ascii="宋体" w:hAnsi="宋体"/>
                <w:color w:val="000000"/>
                <w:szCs w:val="21"/>
                <w:highlight w:val="none"/>
                <w:lang w:val="en-US" w:eastAsia="zh-CN"/>
              </w:rPr>
              <w:t>4</w:t>
            </w:r>
            <w:r>
              <w:rPr>
                <w:rFonts w:hint="eastAsia" w:ascii="宋体" w:hAnsi="宋体"/>
                <w:color w:val="000000"/>
                <w:szCs w:val="21"/>
                <w:highlight w:val="none"/>
                <w:lang w:eastAsia="zh-CN"/>
              </w:rPr>
              <w:t>月1日至今，以合同签订时间为准)至少承担过一项社会责任报告或ESG报告或可持续发展报告</w:t>
            </w:r>
            <w:r>
              <w:rPr>
                <w:rFonts w:hint="eastAsia" w:ascii="宋体" w:hAnsi="宋体"/>
                <w:color w:val="000000"/>
                <w:szCs w:val="21"/>
                <w:highlight w:val="none"/>
                <w:lang w:val="en-US" w:eastAsia="zh-CN"/>
              </w:rPr>
              <w:t>编制</w:t>
            </w:r>
            <w:r>
              <w:rPr>
                <w:rFonts w:hint="eastAsia" w:ascii="宋体" w:hAnsi="宋体"/>
                <w:color w:val="000000"/>
                <w:szCs w:val="21"/>
                <w:highlight w:val="none"/>
                <w:lang w:eastAsia="zh-CN"/>
              </w:rPr>
              <w:t>项目的项目负责人（或项目经理）。</w:t>
            </w:r>
          </w:p>
        </w:tc>
      </w:tr>
    </w:tbl>
    <w:p w14:paraId="6321EF4A">
      <w:pPr>
        <w:jc w:val="both"/>
        <w:rPr>
          <w:rFonts w:hint="eastAsia" w:ascii="宋体" w:hAnsi="宋体" w:eastAsia="宋体" w:cs="Times New Roman"/>
          <w:b/>
          <w:sz w:val="24"/>
          <w:szCs w:val="24"/>
        </w:rPr>
      </w:pPr>
    </w:p>
    <w:p w14:paraId="06D7ADEB">
      <w:pPr>
        <w:rPr>
          <w:rFonts w:hint="eastAsia" w:ascii="宋体" w:hAnsi="宋体" w:eastAsia="宋体"/>
          <w:sz w:val="24"/>
          <w:szCs w:val="24"/>
          <w:lang w:val="en-US" w:eastAsia="zh-CN"/>
        </w:rPr>
      </w:pPr>
      <w:bookmarkStart w:id="6" w:name="_Toc14361"/>
      <w:bookmarkStart w:id="7" w:name="_Toc171573455"/>
      <w:bookmarkStart w:id="8" w:name="_Toc172796497"/>
      <w:r>
        <w:rPr>
          <w:rFonts w:hint="eastAsia" w:ascii="宋体" w:hAnsi="宋体"/>
          <w:sz w:val="24"/>
          <w:szCs w:val="24"/>
        </w:rPr>
        <w:br w:type="page"/>
      </w:r>
    </w:p>
    <w:p w14:paraId="16EB5837">
      <w:pPr>
        <w:pStyle w:val="3"/>
        <w:snapToGrid w:val="0"/>
        <w:spacing w:before="158" w:beforeLines="50" w:after="158" w:afterLines="50" w:line="240" w:lineRule="auto"/>
        <w:rPr>
          <w:rFonts w:hint="eastAsia" w:ascii="宋体" w:hAnsi="宋体"/>
          <w:sz w:val="24"/>
          <w:szCs w:val="24"/>
        </w:rPr>
      </w:pPr>
      <w:r>
        <w:rPr>
          <w:rFonts w:hint="eastAsia" w:ascii="宋体" w:hAnsi="宋体"/>
          <w:sz w:val="24"/>
          <w:szCs w:val="24"/>
        </w:rPr>
        <w:t>附件2：评标办法</w:t>
      </w:r>
      <w:bookmarkEnd w:id="1"/>
      <w:bookmarkEnd w:id="2"/>
      <w:bookmarkEnd w:id="3"/>
      <w:bookmarkEnd w:id="4"/>
      <w:bookmarkEnd w:id="6"/>
      <w:bookmarkEnd w:id="7"/>
      <w:bookmarkEnd w:id="8"/>
    </w:p>
    <w:p w14:paraId="0DE69988">
      <w:pPr>
        <w:pStyle w:val="3"/>
        <w:snapToGrid w:val="0"/>
        <w:spacing w:before="120" w:after="120" w:line="240" w:lineRule="auto"/>
        <w:jc w:val="center"/>
        <w:rPr>
          <w:sz w:val="24"/>
          <w:szCs w:val="24"/>
        </w:rPr>
      </w:pPr>
      <w:bookmarkStart w:id="9" w:name="_Toc65857110"/>
      <w:bookmarkStart w:id="10" w:name="_Toc141780408"/>
      <w:bookmarkStart w:id="11" w:name="_Toc138793770"/>
      <w:bookmarkStart w:id="12" w:name="_Toc171573456"/>
      <w:bookmarkStart w:id="13" w:name="_Toc66337244"/>
      <w:bookmarkStart w:id="14" w:name="_Toc65820978"/>
      <w:bookmarkStart w:id="15" w:name="_Toc171491580"/>
      <w:bookmarkStart w:id="16" w:name="_Toc66984522"/>
      <w:bookmarkStart w:id="17" w:name="_Toc169637959"/>
      <w:bookmarkStart w:id="18" w:name="_Toc172796498"/>
      <w:bookmarkStart w:id="19" w:name="_Toc145426380"/>
      <w:bookmarkStart w:id="20" w:name="_Toc171120326"/>
      <w:bookmarkStart w:id="21" w:name="_Toc146031775"/>
      <w:bookmarkStart w:id="22" w:name="_Toc21839"/>
      <w:bookmarkStart w:id="23" w:name="_Toc10623"/>
      <w:bookmarkStart w:id="24" w:name="_Toc171919756"/>
      <w:r>
        <w:rPr>
          <w:rFonts w:hint="eastAsia"/>
          <w:sz w:val="24"/>
          <w:szCs w:val="24"/>
        </w:rPr>
        <w:t>评标办法前附表</w:t>
      </w:r>
      <w:bookmarkEnd w:id="0"/>
      <w:bookmarkEnd w:id="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Hlk144505320"/>
      <w:bookmarkStart w:id="26" w:name="_Hlk71130285"/>
    </w:p>
    <w:bookmarkEnd w:id="25"/>
    <w:bookmarkEnd w:id="26"/>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01"/>
        <w:gridCol w:w="6780"/>
      </w:tblGrid>
      <w:tr w14:paraId="2DC9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6" w:type="pct"/>
            <w:gridSpan w:val="2"/>
            <w:vAlign w:val="center"/>
          </w:tcPr>
          <w:p w14:paraId="3B08E137">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条款号</w:t>
            </w:r>
          </w:p>
        </w:tc>
        <w:tc>
          <w:tcPr>
            <w:tcW w:w="3983" w:type="pct"/>
            <w:vAlign w:val="center"/>
          </w:tcPr>
          <w:p w14:paraId="1265C110">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评审因素与评审标准</w:t>
            </w:r>
          </w:p>
        </w:tc>
      </w:tr>
      <w:tr w14:paraId="2E12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1A870F4C">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1</w:t>
            </w:r>
          </w:p>
        </w:tc>
        <w:tc>
          <w:tcPr>
            <w:tcW w:w="593" w:type="pct"/>
            <w:vAlign w:val="center"/>
          </w:tcPr>
          <w:p w14:paraId="7DD3D410">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评标方法</w:t>
            </w:r>
          </w:p>
        </w:tc>
        <w:tc>
          <w:tcPr>
            <w:tcW w:w="3983" w:type="pct"/>
            <w:vAlign w:val="center"/>
          </w:tcPr>
          <w:p w14:paraId="4802C611">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5FA826F3">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（1）评标价低的投标人优先；</w:t>
            </w:r>
          </w:p>
          <w:p w14:paraId="4DEC5227">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（2）技术</w:t>
            </w:r>
            <w:r>
              <w:rPr>
                <w:rFonts w:hint="eastAsia" w:ascii="宋体" w:hAnsi="宋体"/>
                <w:color w:val="auto"/>
                <w:highlight w:val="none"/>
                <w:lang w:eastAsia="zh-CN"/>
              </w:rPr>
              <w:t>部分</w:t>
            </w:r>
            <w:r>
              <w:rPr>
                <w:rFonts w:hint="eastAsia" w:ascii="宋体" w:hAnsi="宋体"/>
                <w:color w:val="auto"/>
                <w:highlight w:val="none"/>
              </w:rPr>
              <w:t>得</w:t>
            </w:r>
            <w:r>
              <w:rPr>
                <w:rFonts w:hint="eastAsia" w:ascii="宋体" w:hAnsi="宋体"/>
              </w:rPr>
              <w:t>分较高的投标人优先；</w:t>
            </w:r>
          </w:p>
          <w:p w14:paraId="72FC9ACC">
            <w:pPr>
              <w:keepNext w:val="0"/>
              <w:keepLines w:val="0"/>
              <w:suppressLineNumbers w:val="0"/>
              <w:spacing w:before="0" w:beforeAutospacing="0" w:after="0" w:afterAutospacing="0"/>
              <w:ind w:left="0" w:right="0" w:firstLine="315" w:firstLineChars="150"/>
              <w:jc w:val="left"/>
              <w:rPr>
                <w:rFonts w:hint="eastAsia" w:ascii="宋体" w:hAnsi="宋体"/>
              </w:rPr>
            </w:pPr>
            <w:r>
              <w:rPr>
                <w:rFonts w:hint="eastAsia" w:ascii="宋体" w:hAnsi="宋体"/>
              </w:rPr>
              <w:t>（3）投标人满足资格审查条件(业绩最低条件)要求的业绩累计金额高的优先。</w:t>
            </w:r>
          </w:p>
        </w:tc>
      </w:tr>
      <w:tr w14:paraId="260B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65A7956">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2.1.1</w:t>
            </w:r>
          </w:p>
          <w:p w14:paraId="5FDAF25A">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2.1.3</w:t>
            </w:r>
          </w:p>
        </w:tc>
        <w:tc>
          <w:tcPr>
            <w:tcW w:w="593" w:type="pct"/>
            <w:vAlign w:val="center"/>
          </w:tcPr>
          <w:p w14:paraId="3F3CF746">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形式评审与响应性评审标准</w:t>
            </w:r>
          </w:p>
        </w:tc>
        <w:tc>
          <w:tcPr>
            <w:tcW w:w="3983" w:type="pct"/>
          </w:tcPr>
          <w:p w14:paraId="68C4CC93">
            <w:pPr>
              <w:keepNext w:val="0"/>
              <w:keepLines w:val="0"/>
              <w:suppressLineNumbers w:val="0"/>
              <w:tabs>
                <w:tab w:val="left" w:pos="3060"/>
              </w:tabs>
              <w:spacing w:before="0" w:beforeAutospacing="0" w:after="0" w:afterAutospacing="0" w:line="320" w:lineRule="exact"/>
              <w:ind w:left="0" w:right="0"/>
              <w:rPr>
                <w:rFonts w:hint="eastAsia" w:ascii="宋体" w:hAnsi="宋体" w:eastAsia="宋体"/>
                <w:b/>
                <w:szCs w:val="21"/>
                <w:highlight w:val="none"/>
                <w:lang w:eastAsia="zh-CN"/>
              </w:rPr>
            </w:pPr>
            <w:r>
              <w:rPr>
                <w:rFonts w:hint="eastAsia" w:ascii="宋体" w:hAnsi="宋体"/>
                <w:b/>
                <w:szCs w:val="21"/>
                <w:highlight w:val="none"/>
              </w:rPr>
              <w:t>商务文件评审标准：</w:t>
            </w:r>
          </w:p>
          <w:p w14:paraId="0C56F214">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（1）投标文件按照招标文件规定的格式、内容填写，字迹清晰可辨：</w:t>
            </w:r>
          </w:p>
          <w:p w14:paraId="69FFA3D5">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a．投标函按招标文件规定填报了招标人名称、项目名称、</w:t>
            </w:r>
            <w:r>
              <w:rPr>
                <w:rFonts w:hint="eastAsia" w:ascii="宋体" w:hAnsi="宋体"/>
                <w:szCs w:val="21"/>
                <w:lang w:val="en-US" w:eastAsia="zh-CN"/>
              </w:rPr>
              <w:t>项目负责人名称、</w:t>
            </w:r>
            <w:r>
              <w:rPr>
                <w:rFonts w:hint="eastAsia" w:ascii="宋体" w:hAnsi="宋体"/>
                <w:szCs w:val="21"/>
              </w:rPr>
              <w:t>补遗书编号（如有）、质量要求、服务期限等内容；</w:t>
            </w:r>
          </w:p>
          <w:p w14:paraId="29B3E33B">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b．投标文件组成齐全完整，内容均按规定填写。</w:t>
            </w:r>
          </w:p>
          <w:p w14:paraId="58DED08F">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bCs/>
                <w:szCs w:val="21"/>
              </w:rPr>
            </w:pPr>
            <w:r>
              <w:rPr>
                <w:rFonts w:hint="eastAsia" w:ascii="宋体" w:hAnsi="宋体"/>
                <w:bCs/>
                <w:szCs w:val="21"/>
              </w:rPr>
              <w:t>（</w:t>
            </w:r>
            <w:r>
              <w:rPr>
                <w:rFonts w:hint="default" w:ascii="宋体" w:hAnsi="宋体"/>
                <w:bCs/>
                <w:szCs w:val="21"/>
              </w:rPr>
              <w:t>2</w:t>
            </w:r>
            <w:r>
              <w:rPr>
                <w:rFonts w:hint="eastAsia" w:ascii="宋体" w:hAnsi="宋体"/>
                <w:bCs/>
                <w:szCs w:val="21"/>
              </w:rPr>
              <w:t>）投标文件上法定代表人或其授权代理人的签字、投标人的单位章盖章齐全，符合招标文件规定。</w:t>
            </w:r>
          </w:p>
          <w:p w14:paraId="66130AC7">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cs="宋体"/>
                <w:szCs w:val="21"/>
              </w:rPr>
              <w:t>（3）投标人按照招标文件的规定提供了投标保证金，满足招标文件投标人须知前附表第3.4.1款。</w:t>
            </w:r>
          </w:p>
          <w:p w14:paraId="5471C25A">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4</w:t>
            </w:r>
            <w:r>
              <w:rPr>
                <w:rFonts w:hint="eastAsia" w:ascii="宋体" w:hAnsi="宋体"/>
                <w:szCs w:val="21"/>
              </w:rPr>
              <w:t>）投标人法定代表人授权委托代理人签署投标文件的，须提交授权委托书，授权委托书符合招标文件规定。</w:t>
            </w:r>
          </w:p>
          <w:p w14:paraId="1E7BA2C2">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5</w:t>
            </w:r>
            <w:r>
              <w:rPr>
                <w:rFonts w:hint="eastAsia" w:ascii="宋体" w:hAnsi="宋体"/>
                <w:szCs w:val="21"/>
              </w:rPr>
              <w:t>）投标人法定代表人亲自签署投标文件的，提供了法定代表人身份证明，法定代表人身份证明符合招标文件规定。</w:t>
            </w:r>
          </w:p>
          <w:p w14:paraId="2A555F0B">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szCs w:val="21"/>
                <w:highlight w:val="none"/>
                <w:lang w:val="en-US" w:eastAsia="zh-CN"/>
              </w:rPr>
              <w:t>投标人未对本项目进行分包。</w:t>
            </w:r>
          </w:p>
          <w:p w14:paraId="454239C2">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szCs w:val="21"/>
                <w:lang w:val="en-US" w:eastAsia="zh-CN"/>
              </w:rPr>
            </w:pPr>
            <w:r>
              <w:rPr>
                <w:rFonts w:hint="eastAsia" w:ascii="宋体" w:hAnsi="宋体"/>
                <w:szCs w:val="21"/>
                <w:lang w:val="en-US" w:eastAsia="zh-CN"/>
              </w:rPr>
              <w:t>（7）投标人未以联合体形式投标。</w:t>
            </w:r>
          </w:p>
          <w:p w14:paraId="45076CE7">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）投标人未提交两个以上不同的投标文件。</w:t>
            </w:r>
          </w:p>
          <w:p w14:paraId="7A25799B">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）投标文件中未出现有关投标报价的内容。</w:t>
            </w:r>
          </w:p>
          <w:p w14:paraId="481F24F6">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eastAsia" w:ascii="宋体" w:hAnsi="宋体"/>
                <w:szCs w:val="21"/>
                <w:lang w:val="en-US" w:eastAsia="zh-CN"/>
              </w:rPr>
              <w:t>10</w:t>
            </w:r>
            <w:r>
              <w:rPr>
                <w:rFonts w:hint="eastAsia" w:ascii="宋体" w:hAnsi="宋体"/>
                <w:szCs w:val="21"/>
              </w:rPr>
              <w:t>）投标文件载明的招标项目完成期限未超过招标文件规定的时限。</w:t>
            </w:r>
          </w:p>
          <w:p w14:paraId="567E3A6A">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）投标文件对招标文件的实质性要求和条件作出响应。</w:t>
            </w:r>
          </w:p>
          <w:p w14:paraId="57BC6E69">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w:t>
            </w:r>
            <w:r>
              <w:rPr>
                <w:rFonts w:hint="default" w:ascii="宋体" w:hAnsi="宋体"/>
                <w:szCs w:val="21"/>
              </w:rPr>
              <w:t>1</w:t>
            </w:r>
            <w:r>
              <w:rPr>
                <w:rFonts w:hint="eastAsia" w:ascii="宋体" w:hAnsi="宋体"/>
                <w:szCs w:val="21"/>
                <w:lang w:val="en-US" w:eastAsia="zh-CN"/>
              </w:rPr>
              <w:t>2</w:t>
            </w:r>
            <w:r>
              <w:rPr>
                <w:rFonts w:hint="eastAsia" w:ascii="宋体" w:hAnsi="宋体"/>
                <w:szCs w:val="21"/>
              </w:rPr>
              <w:t>）权利义务符合招标文件规定：</w:t>
            </w:r>
          </w:p>
          <w:p w14:paraId="355A6747">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a.投标人应接受招标文件规定的风险划分原则，未提出新的风险划分办法；</w:t>
            </w:r>
          </w:p>
          <w:p w14:paraId="5A0402D7">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b.投标人未增加发包人的责任范围，或减少投标人义务；</w:t>
            </w:r>
          </w:p>
          <w:p w14:paraId="42D04A43">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c.投标人未提出不同的支付办法；</w:t>
            </w:r>
          </w:p>
          <w:p w14:paraId="4D485F68">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d.投标人对合同纠纷、事故处理办法未提出异议；</w:t>
            </w:r>
          </w:p>
          <w:p w14:paraId="6B5E4D4D">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szCs w:val="21"/>
              </w:rPr>
            </w:pPr>
            <w:r>
              <w:rPr>
                <w:rFonts w:hint="eastAsia" w:ascii="宋体" w:hAnsi="宋体"/>
                <w:szCs w:val="21"/>
              </w:rPr>
              <w:t>e.投标人在投标活动中无欺诈行为；</w:t>
            </w:r>
          </w:p>
          <w:p w14:paraId="4AE66711">
            <w:pPr>
              <w:keepNext w:val="0"/>
              <w:keepLines w:val="0"/>
              <w:suppressLineNumbers w:val="0"/>
              <w:snapToGrid w:val="0"/>
              <w:spacing w:before="0" w:beforeAutospacing="0" w:after="0" w:afterAutospacing="0" w:line="240" w:lineRule="auto"/>
              <w:ind w:left="0" w:right="0"/>
              <w:rPr>
                <w:rFonts w:hint="eastAsia" w:ascii="宋体" w:hAnsi="宋体"/>
                <w:szCs w:val="21"/>
              </w:rPr>
            </w:pPr>
            <w:r>
              <w:rPr>
                <w:rFonts w:hint="eastAsia" w:ascii="宋体" w:hAnsi="宋体"/>
                <w:szCs w:val="21"/>
              </w:rPr>
              <w:t>f.投标人未对合同条款有重要保留。</w:t>
            </w:r>
          </w:p>
          <w:p w14:paraId="3477C4BA">
            <w:pPr>
              <w:keepNext w:val="0"/>
              <w:keepLines w:val="0"/>
              <w:suppressLineNumbers w:val="0"/>
              <w:snapToGrid w:val="0"/>
              <w:spacing w:before="0" w:beforeAutospacing="0" w:after="0" w:afterAutospacing="0" w:line="320" w:lineRule="exact"/>
              <w:ind w:left="0" w:right="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340D6173">
            <w:pPr>
              <w:keepNext w:val="0"/>
              <w:keepLines w:val="0"/>
              <w:suppressLineNumbers w:val="0"/>
              <w:adjustRightInd w:val="0"/>
              <w:snapToGrid w:val="0"/>
              <w:spacing w:before="0" w:beforeAutospacing="0" w:after="0" w:afterAutospacing="0"/>
              <w:ind w:left="0" w:right="0"/>
              <w:textAlignment w:val="baseline"/>
              <w:rPr>
                <w:rFonts w:hint="eastAsia" w:ascii="宋体" w:hAnsi="宋体"/>
                <w:szCs w:val="21"/>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）投标人不存在</w:t>
            </w:r>
            <w:r>
              <w:rPr>
                <w:rFonts w:hint="eastAsia" w:ascii="宋体" w:hAnsi="宋体" w:cs="宋体"/>
                <w:color w:val="auto"/>
                <w:kern w:val="0"/>
                <w:szCs w:val="21"/>
                <w:highlight w:val="none"/>
                <w:lang w:val="en-US" w:eastAsia="zh-CN"/>
              </w:rPr>
              <w:t>因</w:t>
            </w:r>
            <w:r>
              <w:rPr>
                <w:rFonts w:hint="eastAsia" w:ascii="宋体" w:hAnsi="宋体" w:cs="宋体"/>
                <w:color w:val="auto"/>
                <w:kern w:val="0"/>
                <w:szCs w:val="21"/>
                <w:highlight w:val="none"/>
              </w:rPr>
              <w:t>投标人须知前附表4.4(2)项规定的情形</w:t>
            </w:r>
            <w:r>
              <w:rPr>
                <w:rFonts w:hint="eastAsia" w:ascii="宋体" w:hAnsi="宋体" w:cs="宋体"/>
                <w:color w:val="auto"/>
                <w:kern w:val="0"/>
                <w:szCs w:val="21"/>
                <w:highlight w:val="none"/>
                <w:lang w:val="en-US" w:eastAsia="zh-CN"/>
              </w:rPr>
              <w:t>被评标委员会认定为其他异常投标情形</w:t>
            </w:r>
            <w:r>
              <w:rPr>
                <w:rFonts w:hint="eastAsia" w:ascii="宋体" w:hAnsi="宋体"/>
                <w:szCs w:val="21"/>
              </w:rPr>
              <w:t>。</w:t>
            </w:r>
          </w:p>
          <w:p w14:paraId="742BB748">
            <w:pPr>
              <w:keepNext w:val="0"/>
              <w:keepLines w:val="0"/>
              <w:suppressLineNumbers w:val="0"/>
              <w:tabs>
                <w:tab w:val="left" w:pos="3060"/>
              </w:tabs>
              <w:spacing w:before="0" w:beforeAutospacing="0" w:after="0" w:afterAutospacing="0" w:line="320" w:lineRule="exact"/>
              <w:ind w:left="0" w:right="0"/>
              <w:rPr>
                <w:rFonts w:hint="eastAsia" w:ascii="宋体" w:hAnsi="宋体" w:eastAsia="宋体" w:cs="Times New Roman"/>
                <w:b/>
                <w:szCs w:val="21"/>
              </w:rPr>
            </w:pPr>
            <w:r>
              <w:rPr>
                <w:rFonts w:hint="eastAsia" w:ascii="宋体" w:hAnsi="宋体" w:eastAsia="宋体" w:cs="Times New Roman"/>
                <w:b/>
                <w:szCs w:val="21"/>
              </w:rPr>
              <w:t>第一个信封（技术文件）评审标准：</w:t>
            </w:r>
          </w:p>
          <w:p w14:paraId="3E3E5075">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eastAsia="宋体" w:cs="Times New Roman"/>
                <w:szCs w:val="21"/>
                <w:lang w:val="en-US"/>
              </w:rPr>
            </w:pPr>
            <w:r>
              <w:rPr>
                <w:rFonts w:hint="eastAsia" w:ascii="宋体" w:hAnsi="宋体" w:eastAsia="宋体" w:cs="Times New Roman"/>
                <w:szCs w:val="21"/>
              </w:rPr>
              <w:t>（1）服务方案（暗标）的编制符合招标文件第二章“投标人须知”第10.3款的规定</w:t>
            </w:r>
          </w:p>
          <w:p w14:paraId="67295CC0">
            <w:pPr>
              <w:keepNext w:val="0"/>
              <w:keepLines w:val="0"/>
              <w:suppressLineNumbers w:val="0"/>
              <w:tabs>
                <w:tab w:val="left" w:pos="3060"/>
              </w:tabs>
              <w:spacing w:before="0" w:beforeAutospacing="0" w:after="0" w:afterAutospacing="0" w:line="320" w:lineRule="exact"/>
              <w:ind w:left="0" w:right="0"/>
              <w:rPr>
                <w:rFonts w:hint="eastAsia" w:ascii="宋体" w:hAnsi="宋体"/>
                <w:b/>
                <w:szCs w:val="21"/>
              </w:rPr>
            </w:pPr>
            <w:r>
              <w:rPr>
                <w:rFonts w:hint="eastAsia" w:ascii="宋体" w:hAnsi="宋体"/>
                <w:b/>
                <w:szCs w:val="21"/>
              </w:rPr>
              <w:t>第二个信封（报价文件）评审标准：</w:t>
            </w:r>
          </w:p>
          <w:p w14:paraId="1DB47842">
            <w:pPr>
              <w:keepNext w:val="0"/>
              <w:keepLines w:val="0"/>
              <w:suppressLineNumbers w:val="0"/>
              <w:tabs>
                <w:tab w:val="left" w:pos="3060"/>
              </w:tabs>
              <w:spacing w:before="0" w:beforeAutospacing="0" w:after="0" w:afterAutospacing="0" w:line="320" w:lineRule="exact"/>
              <w:ind w:left="0" w:right="0"/>
              <w:rPr>
                <w:rFonts w:hint="eastAsia" w:ascii="宋体" w:hAnsi="宋体"/>
                <w:szCs w:val="21"/>
              </w:rPr>
            </w:pPr>
            <w:r>
              <w:rPr>
                <w:rFonts w:hint="eastAsia" w:ascii="宋体" w:hAnsi="宋体"/>
                <w:szCs w:val="21"/>
              </w:rPr>
              <w:t>（1）投标文件按照招标文件规定的格式、内容填写，字迹清晰可辨，内容齐全完整：</w:t>
            </w:r>
          </w:p>
          <w:p w14:paraId="55FEEF5D">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a．投标函按招标文件规定填报了招标人名称、项目名称、补遗书编号（如有）、投标报价（包括大写金额和小写金额）；</w:t>
            </w:r>
          </w:p>
          <w:p w14:paraId="7AFF370E">
            <w:pPr>
              <w:keepNext w:val="0"/>
              <w:keepLines w:val="0"/>
              <w:suppressLineNumbers w:val="0"/>
              <w:tabs>
                <w:tab w:val="left" w:pos="3060"/>
              </w:tabs>
              <w:spacing w:before="0" w:beforeAutospacing="0" w:after="0" w:afterAutospacing="0" w:line="320" w:lineRule="exact"/>
              <w:ind w:left="0" w:right="0" w:firstLine="420" w:firstLineChars="200"/>
              <w:rPr>
                <w:rFonts w:hint="eastAsia" w:ascii="宋体" w:hAnsi="宋体"/>
                <w:szCs w:val="21"/>
              </w:rPr>
            </w:pPr>
            <w:r>
              <w:rPr>
                <w:rFonts w:hint="eastAsia" w:ascii="宋体" w:hAnsi="宋体"/>
                <w:szCs w:val="21"/>
              </w:rPr>
              <w:t>b．投标文件组成齐全完整，内容均按规定填写。</w:t>
            </w:r>
          </w:p>
          <w:p w14:paraId="03AE50AA">
            <w:pPr>
              <w:keepNext w:val="0"/>
              <w:keepLines w:val="0"/>
              <w:suppressLineNumbers w:val="0"/>
              <w:tabs>
                <w:tab w:val="left" w:pos="3060"/>
              </w:tabs>
              <w:spacing w:before="0" w:beforeAutospacing="0" w:after="0" w:afterAutospacing="0" w:line="320" w:lineRule="exact"/>
              <w:ind w:left="0" w:right="0"/>
              <w:rPr>
                <w:rFonts w:hint="eastAsia" w:ascii="宋体" w:hAnsi="宋体"/>
                <w:bCs/>
                <w:szCs w:val="21"/>
              </w:rPr>
            </w:pPr>
            <w:r>
              <w:rPr>
                <w:rFonts w:hint="eastAsia" w:ascii="宋体" w:hAnsi="宋体"/>
                <w:bCs/>
                <w:szCs w:val="21"/>
              </w:rPr>
              <w:t>（2）投标文件上法定代表人或其授权代理人的签字、投标人的单位章盖章齐全，符合招标文件规定。</w:t>
            </w:r>
          </w:p>
          <w:p w14:paraId="25B6733B">
            <w:pPr>
              <w:keepNext w:val="0"/>
              <w:keepLines w:val="0"/>
              <w:suppressLineNumbers w:val="0"/>
              <w:tabs>
                <w:tab w:val="left" w:pos="3060"/>
              </w:tabs>
              <w:spacing w:before="0" w:beforeAutospacing="0" w:after="0" w:afterAutospacing="0" w:line="320" w:lineRule="exact"/>
              <w:ind w:left="0" w:right="0"/>
              <w:rPr>
                <w:rFonts w:hint="eastAsia" w:ascii="宋体" w:hAnsi="宋体"/>
                <w:bCs/>
                <w:szCs w:val="21"/>
              </w:rPr>
            </w:pPr>
            <w:r>
              <w:rPr>
                <w:rFonts w:hint="eastAsia" w:ascii="宋体" w:hAnsi="宋体" w:cs="宋体"/>
                <w:bCs/>
                <w:color w:val="auto"/>
                <w:szCs w:val="21"/>
                <w:highlight w:val="none"/>
              </w:rPr>
              <w:t>（3）</w:t>
            </w:r>
            <w:r>
              <w:rPr>
                <w:rFonts w:hint="eastAsia" w:ascii="宋体" w:hAnsi="宋体" w:cs="宋体"/>
                <w:color w:val="auto"/>
                <w:kern w:val="0"/>
                <w:szCs w:val="21"/>
                <w:highlight w:val="none"/>
              </w:rPr>
              <w:t>投标报价未超过招标文件设定的最高投标限价</w:t>
            </w:r>
            <w:r>
              <w:rPr>
                <w:rFonts w:hint="eastAsia" w:ascii="宋体" w:hAnsi="宋体"/>
                <w:bCs/>
                <w:szCs w:val="21"/>
              </w:rPr>
              <w:t>。</w:t>
            </w:r>
          </w:p>
          <w:p w14:paraId="7B7DF09C">
            <w:pPr>
              <w:keepNext w:val="0"/>
              <w:keepLines w:val="0"/>
              <w:suppressLineNumbers w:val="0"/>
              <w:tabs>
                <w:tab w:val="left" w:pos="3060"/>
              </w:tabs>
              <w:spacing w:before="0" w:beforeAutospacing="0" w:after="0" w:afterAutospacing="0" w:line="320" w:lineRule="exact"/>
              <w:ind w:left="0" w:right="0"/>
              <w:rPr>
                <w:rFonts w:hint="default" w:ascii="宋体" w:hAnsi="宋体" w:eastAsia="宋体"/>
                <w:bCs/>
                <w:color w:val="0000FF"/>
                <w:szCs w:val="21"/>
                <w:lang w:val="en-US" w:eastAsia="zh-CN"/>
              </w:rPr>
            </w:pP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）投标报价的大写金额能够确定具体数值。</w:t>
            </w:r>
          </w:p>
          <w:p w14:paraId="22F785F9">
            <w:pPr>
              <w:keepNext w:val="0"/>
              <w:keepLines w:val="0"/>
              <w:suppressLineNumbers w:val="0"/>
              <w:snapToGrid w:val="0"/>
              <w:spacing w:before="0" w:beforeAutospacing="0" w:after="0" w:afterAutospacing="0" w:line="240" w:lineRule="auto"/>
              <w:ind w:left="0" w:right="0"/>
              <w:rPr>
                <w:rFonts w:hint="eastAsia" w:ascii="宋体" w:hAnsi="宋体"/>
                <w:bCs/>
                <w:szCs w:val="21"/>
              </w:rPr>
            </w:pPr>
            <w:r>
              <w:rPr>
                <w:rFonts w:hint="eastAsia" w:ascii="宋体" w:hAnsi="宋体"/>
                <w:bCs/>
                <w:szCs w:val="21"/>
              </w:rPr>
              <w:t>（</w:t>
            </w:r>
            <w:r>
              <w:rPr>
                <w:rFonts w:hint="eastAsia" w:ascii="宋体" w:hAnsi="宋体"/>
                <w:bCs/>
                <w:szCs w:val="21"/>
                <w:lang w:val="en-US" w:eastAsia="zh-CN"/>
              </w:rPr>
              <w:t>5</w:t>
            </w:r>
            <w:r>
              <w:rPr>
                <w:rFonts w:hint="eastAsia" w:ascii="宋体" w:hAnsi="宋体"/>
                <w:bCs/>
                <w:szCs w:val="21"/>
              </w:rPr>
              <w:t>）投标人未提交两个以上不同的投标报价。</w:t>
            </w:r>
          </w:p>
          <w:p w14:paraId="07CA86F6">
            <w:pPr>
              <w:keepNext w:val="0"/>
              <w:keepLines w:val="0"/>
              <w:suppressLineNumbers w:val="0"/>
              <w:snapToGrid w:val="0"/>
              <w:spacing w:before="0" w:beforeAutospacing="0" w:after="0" w:afterAutospacing="0" w:line="320" w:lineRule="exact"/>
              <w:ind w:left="0" w:right="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bCs/>
                <w:szCs w:val="21"/>
                <w:lang w:val="en-US" w:eastAsia="zh-CN"/>
              </w:rPr>
              <w:t>(6)投标</w:t>
            </w:r>
            <w:r>
              <w:rPr>
                <w:rFonts w:hint="eastAsia" w:ascii="宋体" w:hAnsi="宋体" w:eastAsia="宋体" w:cs="宋体"/>
                <w:color w:val="auto"/>
                <w:kern w:val="0"/>
                <w:sz w:val="21"/>
                <w:szCs w:val="21"/>
                <w:highlight w:val="none"/>
                <w:lang w:val="en-US" w:eastAsia="zh-CN" w:bidi="ar-SA"/>
              </w:rPr>
              <w:t>人不存在因投标人须知前附表3.2.5项规定被评标委员会认定为低于成本或影响履约的异常低价竞标的情形。</w:t>
            </w:r>
          </w:p>
          <w:p w14:paraId="1E5D096D">
            <w:pPr>
              <w:keepNext w:val="0"/>
              <w:keepLines w:val="0"/>
              <w:suppressLineNumbers w:val="0"/>
              <w:snapToGrid w:val="0"/>
              <w:spacing w:before="0" w:beforeAutospacing="0" w:after="0" w:afterAutospacing="0" w:line="320" w:lineRule="exact"/>
              <w:ind w:left="0" w:right="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6375F9E1">
            <w:pPr>
              <w:keepNext w:val="0"/>
              <w:keepLines w:val="0"/>
              <w:suppressLineNumbers w:val="0"/>
              <w:snapToGrid w:val="0"/>
              <w:spacing w:before="0" w:beforeAutospacing="0" w:after="0" w:afterAutospacing="0"/>
              <w:ind w:left="0" w:right="0"/>
              <w:rPr>
                <w:rFonts w:hint="eastAsia" w:eastAsia="宋体"/>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）投标人不存在</w:t>
            </w:r>
            <w:r>
              <w:rPr>
                <w:rFonts w:hint="eastAsia" w:ascii="宋体" w:hAnsi="宋体" w:cs="宋体"/>
                <w:color w:val="auto"/>
                <w:kern w:val="0"/>
                <w:szCs w:val="21"/>
                <w:highlight w:val="none"/>
                <w:lang w:val="en-US" w:eastAsia="zh-CN"/>
              </w:rPr>
              <w:t>因</w:t>
            </w:r>
            <w:r>
              <w:rPr>
                <w:rFonts w:hint="eastAsia" w:ascii="宋体" w:hAnsi="宋体" w:cs="宋体"/>
                <w:color w:val="auto"/>
                <w:kern w:val="0"/>
                <w:szCs w:val="21"/>
                <w:highlight w:val="none"/>
              </w:rPr>
              <w:t>投标人须知前附表4.4(2)项规定的情形</w:t>
            </w:r>
            <w:r>
              <w:rPr>
                <w:rFonts w:hint="eastAsia" w:ascii="宋体" w:hAnsi="宋体" w:cs="宋体"/>
                <w:color w:val="auto"/>
                <w:kern w:val="0"/>
                <w:szCs w:val="21"/>
                <w:highlight w:val="none"/>
                <w:lang w:val="en-US" w:eastAsia="zh-CN"/>
              </w:rPr>
              <w:t>被评标委员会认定为其他异常投标情形。</w:t>
            </w:r>
          </w:p>
        </w:tc>
      </w:tr>
      <w:tr w14:paraId="5595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pct"/>
            <w:vAlign w:val="center"/>
          </w:tcPr>
          <w:p w14:paraId="4A59CEA4">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2.1.2</w:t>
            </w:r>
          </w:p>
        </w:tc>
        <w:tc>
          <w:tcPr>
            <w:tcW w:w="593" w:type="pct"/>
            <w:vAlign w:val="center"/>
          </w:tcPr>
          <w:p w14:paraId="22CD696F">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资格评审标准</w:t>
            </w:r>
          </w:p>
        </w:tc>
        <w:tc>
          <w:tcPr>
            <w:tcW w:w="3983" w:type="pct"/>
          </w:tcPr>
          <w:p w14:paraId="715D623B">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eastAsia="宋体"/>
                <w:szCs w:val="21"/>
                <w:lang w:eastAsia="zh-CN"/>
              </w:rPr>
            </w:pPr>
            <w:r>
              <w:rPr>
                <w:rFonts w:hint="eastAsia" w:ascii="宋体" w:hAnsi="宋体"/>
                <w:szCs w:val="21"/>
              </w:rPr>
              <w:t>（1）投标人具备有效的营业执照、基本账户开户许可证（或基本存款账户信息）；</w:t>
            </w:r>
          </w:p>
          <w:p w14:paraId="55CD4F0D">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）投标人的类似项目业绩符合招标文件规定；</w:t>
            </w:r>
          </w:p>
          <w:p w14:paraId="20305B30">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）投标人的信誉符合招标文件规定；</w:t>
            </w:r>
          </w:p>
          <w:p w14:paraId="310F6651">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trike w:val="0"/>
                <w:dstrike w:val="0"/>
                <w:color w:val="auto"/>
                <w:szCs w:val="21"/>
              </w:rPr>
              <w:t>（</w:t>
            </w:r>
            <w:r>
              <w:rPr>
                <w:rFonts w:hint="eastAsia" w:ascii="宋体" w:hAnsi="宋体"/>
                <w:strike w:val="0"/>
                <w:dstrike w:val="0"/>
                <w:color w:val="auto"/>
                <w:szCs w:val="21"/>
                <w:lang w:val="en-US" w:eastAsia="zh-CN"/>
              </w:rPr>
              <w:t>4</w:t>
            </w:r>
            <w:r>
              <w:rPr>
                <w:rFonts w:hint="eastAsia" w:ascii="宋体" w:hAnsi="宋体"/>
                <w:strike w:val="0"/>
                <w:dstrike w:val="0"/>
                <w:color w:val="auto"/>
                <w:szCs w:val="21"/>
              </w:rPr>
              <w:t>）投标人的</w:t>
            </w:r>
            <w:r>
              <w:rPr>
                <w:rFonts w:hint="eastAsia" w:ascii="宋体" w:hAnsi="宋体"/>
                <w:strike w:val="0"/>
                <w:dstrike w:val="0"/>
                <w:color w:val="auto"/>
                <w:szCs w:val="21"/>
                <w:lang w:val="en-US" w:eastAsia="zh-CN"/>
              </w:rPr>
              <w:t>项目负责人</w:t>
            </w:r>
            <w:r>
              <w:rPr>
                <w:rFonts w:hint="eastAsia" w:ascii="宋体" w:hAnsi="宋体"/>
                <w:strike w:val="0"/>
                <w:dstrike w:val="0"/>
                <w:color w:val="auto"/>
                <w:szCs w:val="21"/>
                <w:lang w:eastAsia="zh-CN"/>
              </w:rPr>
              <w:t>资格</w:t>
            </w:r>
            <w:r>
              <w:rPr>
                <w:rFonts w:hint="eastAsia" w:ascii="宋体" w:hAnsi="宋体"/>
                <w:strike w:val="0"/>
                <w:dstrike w:val="0"/>
                <w:color w:val="auto"/>
                <w:szCs w:val="21"/>
              </w:rPr>
              <w:t>符合招标文件规定；</w:t>
            </w:r>
            <w:r>
              <w:rPr>
                <w:rFonts w:hint="eastAsia" w:ascii="宋体" w:hAnsi="宋体"/>
                <w:szCs w:val="21"/>
              </w:rPr>
              <w:t xml:space="preserve"> </w:t>
            </w:r>
          </w:p>
          <w:p w14:paraId="760E413E">
            <w:pPr>
              <w:keepNext w:val="0"/>
              <w:keepLines w:val="0"/>
              <w:suppressLineNumbers w:val="0"/>
              <w:tabs>
                <w:tab w:val="left" w:pos="3060"/>
              </w:tabs>
              <w:spacing w:before="0" w:beforeAutospacing="0" w:after="0" w:afterAutospacing="0" w:line="320" w:lineRule="exact"/>
              <w:ind w:left="0" w:right="0"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）投标人不存在第二章“投标人须知”第1.4.3项或第1.4.4项规定的任何一种情形。</w:t>
            </w:r>
          </w:p>
        </w:tc>
      </w:tr>
      <w:tr w14:paraId="511E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423" w:type="pct"/>
            <w:vAlign w:val="center"/>
          </w:tcPr>
          <w:p w14:paraId="0A8117E4">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2.2.1</w:t>
            </w:r>
          </w:p>
        </w:tc>
        <w:tc>
          <w:tcPr>
            <w:tcW w:w="593" w:type="pct"/>
            <w:vAlign w:val="center"/>
          </w:tcPr>
          <w:p w14:paraId="55551D13">
            <w:pPr>
              <w:keepNext w:val="0"/>
              <w:keepLines w:val="0"/>
              <w:suppressLineNumbers w:val="0"/>
              <w:spacing w:before="0" w:beforeAutospacing="0" w:after="0" w:afterAutospacing="0"/>
              <w:ind w:left="0" w:leftChars="0" w:right="0" w:rightChars="0"/>
              <w:jc w:val="center"/>
              <w:rPr>
                <w:rFonts w:hint="eastAsia" w:ascii="宋体" w:hAnsi="宋体"/>
              </w:rPr>
            </w:pPr>
            <w:r>
              <w:rPr>
                <w:rFonts w:hint="eastAsia" w:ascii="宋体" w:hAnsi="宋体"/>
              </w:rPr>
              <w:t>分值构成（总分100分）</w:t>
            </w:r>
          </w:p>
        </w:tc>
        <w:tc>
          <w:tcPr>
            <w:tcW w:w="3983" w:type="pct"/>
            <w:vAlign w:val="center"/>
          </w:tcPr>
          <w:p w14:paraId="4868586E">
            <w:pPr>
              <w:keepNext w:val="0"/>
              <w:keepLines w:val="0"/>
              <w:suppressLineNumbers w:val="0"/>
              <w:spacing w:before="0" w:beforeAutospacing="0" w:after="0" w:afterAutospacing="0"/>
              <w:ind w:left="0" w:right="0"/>
              <w:rPr>
                <w:rFonts w:hint="default" w:ascii="宋体" w:hAnsi="宋体" w:cs="宋体"/>
                <w:b w:val="0"/>
                <w:bCs w:val="0"/>
                <w:szCs w:val="21"/>
                <w:highlight w:val="none"/>
              </w:rPr>
            </w:pPr>
            <w:r>
              <w:rPr>
                <w:rFonts w:hint="eastAsia" w:ascii="宋体" w:hAnsi="宋体" w:cs="宋体"/>
                <w:b w:val="0"/>
                <w:bCs w:val="0"/>
                <w:szCs w:val="21"/>
                <w:highlight w:val="none"/>
              </w:rPr>
              <w:t>第一信封（商务及技术文件）</w:t>
            </w:r>
          </w:p>
          <w:p w14:paraId="50C18B0C">
            <w:pPr>
              <w:keepNext w:val="0"/>
              <w:keepLines w:val="0"/>
              <w:suppressLineNumbers w:val="0"/>
              <w:spacing w:before="0" w:beforeAutospacing="0" w:after="0" w:afterAutospacing="0"/>
              <w:ind w:left="0" w:right="0"/>
              <w:rPr>
                <w:rFonts w:hint="default" w:ascii="宋体" w:hAnsi="宋体" w:cs="宋体"/>
                <w:b w:val="0"/>
                <w:bCs w:val="0"/>
                <w:szCs w:val="21"/>
                <w:highlight w:val="none"/>
              </w:rPr>
            </w:pPr>
            <w:r>
              <w:rPr>
                <w:rFonts w:hint="default" w:ascii="宋体" w:hAnsi="宋体" w:cs="宋体"/>
                <w:b w:val="0"/>
                <w:bCs w:val="0"/>
                <w:szCs w:val="21"/>
                <w:highlight w:val="none"/>
              </w:rPr>
              <w:t>技术</w:t>
            </w:r>
            <w:r>
              <w:rPr>
                <w:rFonts w:hint="eastAsia" w:ascii="宋体" w:hAnsi="宋体" w:cs="宋体"/>
                <w:b w:val="0"/>
                <w:bCs w:val="0"/>
                <w:szCs w:val="21"/>
                <w:highlight w:val="none"/>
                <w:lang w:eastAsia="zh-CN"/>
              </w:rPr>
              <w:t>部分（</w:t>
            </w:r>
            <w:r>
              <w:rPr>
                <w:rFonts w:hint="eastAsia" w:ascii="宋体" w:hAnsi="宋体" w:cs="宋体"/>
                <w:b w:val="0"/>
                <w:bCs w:val="0"/>
                <w:szCs w:val="21"/>
                <w:highlight w:val="none"/>
                <w:lang w:val="en-US" w:eastAsia="zh-CN"/>
              </w:rPr>
              <w:t>暗标</w:t>
            </w:r>
            <w:r>
              <w:rPr>
                <w:rFonts w:hint="eastAsia" w:ascii="宋体" w:hAnsi="宋体" w:cs="宋体"/>
                <w:b w:val="0"/>
                <w:bCs w:val="0"/>
                <w:szCs w:val="21"/>
                <w:highlight w:val="none"/>
                <w:lang w:eastAsia="zh-CN"/>
              </w:rPr>
              <w:t>）</w:t>
            </w:r>
            <w:r>
              <w:rPr>
                <w:rFonts w:hint="default" w:ascii="宋体" w:hAnsi="宋体" w:cs="宋体"/>
                <w:b w:val="0"/>
                <w:bCs w:val="0"/>
                <w:szCs w:val="21"/>
                <w:highlight w:val="none"/>
              </w:rPr>
              <w:t>（</w:t>
            </w:r>
            <w:r>
              <w:rPr>
                <w:rFonts w:hint="eastAsia" w:ascii="宋体" w:hAnsi="宋体" w:cs="宋体"/>
                <w:b w:val="0"/>
                <w:bCs w:val="0"/>
                <w:szCs w:val="21"/>
                <w:highlight w:val="none"/>
                <w:lang w:val="en-US" w:eastAsia="zh-CN"/>
              </w:rPr>
              <w:t>40</w:t>
            </w:r>
            <w:r>
              <w:rPr>
                <w:rFonts w:hint="default" w:ascii="宋体" w:hAnsi="宋体" w:cs="宋体"/>
                <w:b w:val="0"/>
                <w:bCs w:val="0"/>
                <w:szCs w:val="21"/>
                <w:highlight w:val="none"/>
              </w:rPr>
              <w:t>分）</w:t>
            </w:r>
          </w:p>
          <w:p w14:paraId="1E50BD1D">
            <w:pPr>
              <w:keepNext w:val="0"/>
              <w:keepLines w:val="0"/>
              <w:suppressLineNumbers w:val="0"/>
              <w:spacing w:before="0" w:beforeAutospacing="0" w:after="0" w:afterAutospacing="0"/>
              <w:ind w:left="0" w:right="0"/>
              <w:rPr>
                <w:rFonts w:hint="default" w:ascii="宋体" w:hAnsi="宋体" w:cs="宋体"/>
                <w:b w:val="0"/>
                <w:bCs w:val="0"/>
                <w:strike w:val="0"/>
                <w:dstrike w:val="0"/>
                <w:color w:val="auto"/>
                <w:szCs w:val="21"/>
                <w:highlight w:val="none"/>
              </w:rPr>
            </w:pPr>
            <w:r>
              <w:rPr>
                <w:rFonts w:hint="eastAsia" w:ascii="宋体" w:hAnsi="宋体" w:cs="宋体"/>
                <w:b w:val="0"/>
                <w:bCs w:val="0"/>
                <w:strike w:val="0"/>
                <w:dstrike w:val="0"/>
                <w:color w:val="auto"/>
                <w:szCs w:val="21"/>
                <w:highlight w:val="none"/>
                <w:lang w:val="en-US" w:eastAsia="zh-CN"/>
              </w:rPr>
              <w:t>其他因素</w:t>
            </w:r>
            <w:r>
              <w:rPr>
                <w:rFonts w:hint="default" w:ascii="宋体" w:hAnsi="宋体" w:cs="宋体"/>
                <w:b w:val="0"/>
                <w:bCs w:val="0"/>
                <w:strike w:val="0"/>
                <w:dstrike w:val="0"/>
                <w:color w:val="auto"/>
                <w:szCs w:val="21"/>
                <w:highlight w:val="none"/>
              </w:rPr>
              <w:t>（</w:t>
            </w:r>
            <w:r>
              <w:rPr>
                <w:rFonts w:hint="eastAsia" w:ascii="宋体" w:hAnsi="宋体" w:cs="宋体"/>
                <w:b w:val="0"/>
                <w:bCs w:val="0"/>
                <w:strike w:val="0"/>
                <w:dstrike w:val="0"/>
                <w:color w:val="auto"/>
                <w:szCs w:val="21"/>
                <w:highlight w:val="none"/>
                <w:lang w:val="en-US" w:eastAsia="zh-CN"/>
              </w:rPr>
              <w:t>15</w:t>
            </w:r>
            <w:r>
              <w:rPr>
                <w:rFonts w:hint="default" w:ascii="宋体" w:hAnsi="宋体" w:cs="宋体"/>
                <w:b w:val="0"/>
                <w:bCs w:val="0"/>
                <w:strike w:val="0"/>
                <w:dstrike w:val="0"/>
                <w:color w:val="auto"/>
                <w:szCs w:val="21"/>
                <w:highlight w:val="none"/>
              </w:rPr>
              <w:t>分）</w:t>
            </w:r>
          </w:p>
          <w:p w14:paraId="4701C4EC">
            <w:pPr>
              <w:keepNext w:val="0"/>
              <w:keepLines w:val="0"/>
              <w:suppressLineNumbers w:val="0"/>
              <w:spacing w:before="0" w:beforeAutospacing="0" w:after="0" w:afterAutospacing="0"/>
              <w:ind w:left="0" w:right="0"/>
              <w:rPr>
                <w:rFonts w:hint="default" w:ascii="宋体" w:hAnsi="宋体" w:cs="宋体"/>
                <w:b w:val="0"/>
                <w:bCs w:val="0"/>
                <w:szCs w:val="21"/>
                <w:highlight w:val="none"/>
                <w:lang w:val="en-US" w:eastAsia="zh-CN"/>
              </w:rPr>
            </w:pPr>
            <w:r>
              <w:rPr>
                <w:rFonts w:hint="eastAsia" w:ascii="宋体" w:hAnsi="宋体" w:cs="宋体"/>
                <w:b w:val="0"/>
                <w:bCs w:val="0"/>
                <w:szCs w:val="21"/>
                <w:highlight w:val="none"/>
                <w:lang w:eastAsia="zh"/>
              </w:rPr>
              <w:t>企业业绩</w:t>
            </w:r>
            <w:r>
              <w:rPr>
                <w:rFonts w:hint="eastAsia" w:ascii="宋体" w:hAnsi="宋体" w:cs="宋体"/>
                <w:b w:val="0"/>
                <w:bCs w:val="0"/>
                <w:szCs w:val="21"/>
                <w:highlight w:val="none"/>
                <w:lang w:eastAsia="zh-CN"/>
              </w:rPr>
              <w:t>（</w:t>
            </w:r>
            <w:r>
              <w:rPr>
                <w:rFonts w:hint="eastAsia" w:ascii="宋体" w:hAnsi="宋体" w:cs="宋体"/>
                <w:b w:val="0"/>
                <w:bCs w:val="0"/>
                <w:szCs w:val="21"/>
                <w:highlight w:val="none"/>
                <w:lang w:val="en-US" w:eastAsia="zh-CN"/>
              </w:rPr>
              <w:t>15分</w:t>
            </w:r>
            <w:r>
              <w:rPr>
                <w:rFonts w:hint="eastAsia" w:ascii="宋体" w:hAnsi="宋体" w:cs="宋体"/>
                <w:b w:val="0"/>
                <w:bCs w:val="0"/>
                <w:szCs w:val="21"/>
                <w:highlight w:val="none"/>
                <w:lang w:eastAsia="zh-CN"/>
              </w:rPr>
              <w:t>）</w:t>
            </w:r>
          </w:p>
          <w:p w14:paraId="47CAD3B7">
            <w:pPr>
              <w:keepNext w:val="0"/>
              <w:keepLines w:val="0"/>
              <w:suppressLineNumbers w:val="0"/>
              <w:spacing w:before="0" w:beforeAutospacing="0" w:after="0" w:afterAutospacing="0"/>
              <w:ind w:left="0" w:right="0"/>
              <w:rPr>
                <w:rFonts w:hint="default" w:ascii="宋体" w:hAnsi="宋体" w:cs="宋体"/>
                <w:b w:val="0"/>
                <w:bCs w:val="0"/>
                <w:szCs w:val="21"/>
                <w:highlight w:val="none"/>
              </w:rPr>
            </w:pPr>
            <w:r>
              <w:rPr>
                <w:rFonts w:hint="eastAsia" w:ascii="宋体" w:hAnsi="宋体" w:cs="宋体"/>
                <w:b w:val="0"/>
                <w:bCs w:val="0"/>
                <w:szCs w:val="21"/>
                <w:highlight w:val="none"/>
              </w:rPr>
              <w:t>第二信封（报价文件）</w:t>
            </w:r>
          </w:p>
          <w:p w14:paraId="135E823B">
            <w:pPr>
              <w:keepNext w:val="0"/>
              <w:keepLines w:val="0"/>
              <w:suppressLineNumbers w:val="0"/>
              <w:spacing w:before="0" w:beforeAutospacing="0" w:after="0" w:afterAutospacing="0"/>
              <w:ind w:left="0" w:leftChars="0" w:right="0" w:rightChars="0"/>
              <w:rPr>
                <w:rFonts w:hint="default" w:ascii="宋体" w:hAnsi="宋体" w:eastAsia="宋体"/>
                <w:b/>
                <w:lang w:val="en-US" w:eastAsia="zh-CN"/>
              </w:rPr>
            </w:pPr>
            <w:r>
              <w:rPr>
                <w:rFonts w:hint="eastAsia" w:ascii="宋体" w:hAnsi="宋体" w:cs="宋体"/>
                <w:b w:val="0"/>
                <w:bCs w:val="0"/>
                <w:szCs w:val="21"/>
                <w:highlight w:val="none"/>
              </w:rPr>
              <w:t>报价部分（</w:t>
            </w:r>
            <w:r>
              <w:rPr>
                <w:rFonts w:hint="eastAsia" w:ascii="宋体" w:hAnsi="宋体" w:cs="宋体"/>
                <w:b w:val="0"/>
                <w:bCs w:val="0"/>
                <w:szCs w:val="21"/>
                <w:highlight w:val="none"/>
                <w:lang w:val="en-US" w:eastAsia="zh-CN"/>
              </w:rPr>
              <w:t>30</w:t>
            </w:r>
            <w:r>
              <w:rPr>
                <w:rFonts w:hint="eastAsia" w:ascii="宋体" w:hAnsi="宋体" w:cs="宋体"/>
                <w:b w:val="0"/>
                <w:bCs w:val="0"/>
                <w:szCs w:val="21"/>
                <w:highlight w:val="none"/>
              </w:rPr>
              <w:t>分）</w:t>
            </w:r>
          </w:p>
        </w:tc>
      </w:tr>
      <w:tr w14:paraId="4C1B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2A10DF77">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2.2.2</w:t>
            </w:r>
          </w:p>
        </w:tc>
        <w:tc>
          <w:tcPr>
            <w:tcW w:w="593" w:type="pct"/>
            <w:vAlign w:val="center"/>
          </w:tcPr>
          <w:p w14:paraId="1F225A6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highlight w:val="none"/>
              </w:rPr>
              <w:t>评标基准价计算方法</w:t>
            </w:r>
          </w:p>
        </w:tc>
        <w:tc>
          <w:tcPr>
            <w:tcW w:w="3983" w:type="pct"/>
            <w:vAlign w:val="center"/>
          </w:tcPr>
          <w:p w14:paraId="3066E3E5">
            <w:pPr>
              <w:keepNext w:val="0"/>
              <w:keepLines w:val="0"/>
              <w:suppressLineNumbers w:val="0"/>
              <w:snapToGrid w:val="0"/>
              <w:spacing w:before="0" w:beforeAutospacing="0" w:after="0" w:afterAutospacing="0" w:line="320" w:lineRule="exact"/>
              <w:ind w:left="0" w:right="0"/>
              <w:jc w:val="left"/>
              <w:rPr>
                <w:rFonts w:hint="eastAsia" w:ascii="宋体" w:hAnsi="宋体"/>
                <w:b/>
              </w:rPr>
            </w:pPr>
            <w:r>
              <w:rPr>
                <w:rFonts w:hint="eastAsia" w:ascii="宋体" w:hAnsi="宋体"/>
                <w:b/>
              </w:rPr>
              <w:t>评标基准价的计算：</w:t>
            </w:r>
          </w:p>
          <w:p w14:paraId="1432916A">
            <w:pPr>
              <w:keepNext w:val="0"/>
              <w:keepLines w:val="0"/>
              <w:suppressLineNumbers w:val="0"/>
              <w:tabs>
                <w:tab w:val="left" w:pos="3060"/>
              </w:tabs>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(1)评标价的确定：</w:t>
            </w:r>
          </w:p>
          <w:p w14:paraId="6AC59948">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评标价=投标函文字报价</w:t>
            </w:r>
          </w:p>
          <w:p w14:paraId="4F51C6C7">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(2)评标价平均值的计算：</w:t>
            </w:r>
          </w:p>
          <w:p w14:paraId="20640474">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3DB0E678">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(3)评标基准价的确定：</w:t>
            </w:r>
          </w:p>
          <w:p w14:paraId="03EBBAD5">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评标价平均值直接作为评标基准价。</w:t>
            </w:r>
          </w:p>
          <w:p w14:paraId="185F527E">
            <w:pPr>
              <w:keepNext w:val="0"/>
              <w:keepLines w:val="0"/>
              <w:suppressLineNumbers w:val="0"/>
              <w:spacing w:before="0" w:beforeAutospacing="0" w:after="0" w:afterAutospacing="0" w:line="360" w:lineRule="exact"/>
              <w:ind w:left="0" w:right="0" w:firstLine="420" w:firstLineChars="200"/>
              <w:rPr>
                <w:rFonts w:hint="default" w:ascii="宋体" w:hAnsi="宋体"/>
                <w:szCs w:val="21"/>
              </w:rPr>
            </w:pPr>
            <w:r>
              <w:rPr>
                <w:rFonts w:hint="eastAsia" w:ascii="宋体" w:hAnsi="宋体"/>
                <w:szCs w:val="21"/>
              </w:rPr>
              <w:t>评标基准价保留小数点后两位，小数点后第三位四舍五入。</w:t>
            </w:r>
          </w:p>
          <w:p w14:paraId="35F41BD4">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8C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532FBC23">
            <w:pPr>
              <w:keepNext w:val="0"/>
              <w:keepLines w:val="0"/>
              <w:suppressLineNumbers w:val="0"/>
              <w:spacing w:before="0" w:beforeAutospacing="0" w:after="0" w:afterAutospacing="0"/>
              <w:ind w:left="0" w:right="0"/>
              <w:jc w:val="center"/>
              <w:rPr>
                <w:rFonts w:hint="eastAsia" w:ascii="宋体" w:hAnsi="宋体"/>
              </w:rPr>
            </w:pPr>
            <w:r>
              <w:rPr>
                <w:rFonts w:hint="default" w:ascii="宋体" w:hAnsi="宋体"/>
              </w:rPr>
              <w:t>2.2.3</w:t>
            </w:r>
          </w:p>
        </w:tc>
        <w:tc>
          <w:tcPr>
            <w:tcW w:w="593" w:type="pct"/>
            <w:vAlign w:val="center"/>
          </w:tcPr>
          <w:p w14:paraId="25AB61CE">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评标价的偏差率计算公式</w:t>
            </w:r>
          </w:p>
        </w:tc>
        <w:tc>
          <w:tcPr>
            <w:tcW w:w="3983" w:type="pct"/>
            <w:vAlign w:val="center"/>
          </w:tcPr>
          <w:p w14:paraId="6232463D">
            <w:pPr>
              <w:keepNext w:val="0"/>
              <w:keepLines w:val="0"/>
              <w:suppressLineNumbers w:val="0"/>
              <w:spacing w:before="0" w:beforeAutospacing="0" w:after="0" w:afterAutospacing="0"/>
              <w:ind w:left="0" w:right="0"/>
              <w:jc w:val="left"/>
              <w:rPr>
                <w:rFonts w:hint="eastAsia" w:ascii="宋体" w:hAnsi="宋体"/>
              </w:rPr>
            </w:pPr>
            <w:r>
              <w:rPr>
                <w:rFonts w:hint="eastAsia" w:ascii="宋体" w:hAnsi="宋体"/>
              </w:rPr>
              <w:t>偏差率=100%×（投标人评标价-评标基准价）／评标基准价</w:t>
            </w:r>
          </w:p>
        </w:tc>
      </w:tr>
      <w:tr w14:paraId="03F4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2A03E9B1">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rPr>
              <w:t>3</w:t>
            </w:r>
            <w:r>
              <w:rPr>
                <w:rFonts w:hint="default" w:ascii="宋体" w:hAnsi="宋体"/>
              </w:rPr>
              <w:t>.6.1</w:t>
            </w:r>
          </w:p>
        </w:tc>
        <w:tc>
          <w:tcPr>
            <w:tcW w:w="593" w:type="pct"/>
            <w:vAlign w:val="center"/>
          </w:tcPr>
          <w:p w14:paraId="497EEC72">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rPr>
            </w:pPr>
            <w:r>
              <w:rPr>
                <w:rFonts w:hint="eastAsia" w:ascii="宋体" w:hAnsi="宋体"/>
              </w:rPr>
              <w:t>信息查询</w:t>
            </w:r>
          </w:p>
        </w:tc>
        <w:tc>
          <w:tcPr>
            <w:tcW w:w="3983" w:type="pct"/>
            <w:vAlign w:val="center"/>
          </w:tcPr>
          <w:p w14:paraId="76B60E12">
            <w:pPr>
              <w:keepNext w:val="0"/>
              <w:keepLines w:val="0"/>
              <w:suppressLineNumbers w:val="0"/>
              <w:autoSpaceDE w:val="0"/>
              <w:autoSpaceDN w:val="0"/>
              <w:spacing w:before="0" w:beforeAutospacing="0" w:after="0" w:afterAutospacing="0" w:line="273" w:lineRule="auto"/>
              <w:ind w:left="0" w:right="0"/>
              <w:rPr>
                <w:rFonts w:hint="eastAsia" w:ascii="宋体" w:hAnsi="宋体"/>
                <w:highlight w:val="none"/>
              </w:rPr>
            </w:pPr>
            <w:r>
              <w:rPr>
                <w:rFonts w:hint="eastAsia" w:ascii="宋体" w:hAnsi="宋体"/>
                <w:highlight w:val="none"/>
              </w:rPr>
              <w:t>本款修改为：</w:t>
            </w:r>
          </w:p>
          <w:p w14:paraId="297B4EEF">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1）投标人信用情况网页截图内容与在“国家企业信用信息公示系统”中严重违法失信企业名单或在“信用中国”网站中列入失信被执行人、经营异常名录、重大税收违法失信主体、政府采购严重违法失信行为记录名单的复核结果一致。</w:t>
            </w:r>
          </w:p>
          <w:p w14:paraId="3FB0B0FD">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rPr>
            </w:pPr>
            <w:r>
              <w:rPr>
                <w:rFonts w:hint="eastAsia" w:ascii="宋体" w:hAnsi="宋体"/>
              </w:rPr>
              <w:t>如投标人未提供相关网页截图或所附截图与复核结果不一致，评标委员会应否决其投标。</w:t>
            </w:r>
          </w:p>
          <w:p w14:paraId="0B528142">
            <w:pPr>
              <w:keepNext w:val="0"/>
              <w:keepLines w:val="0"/>
              <w:suppressLineNumbers w:val="0"/>
              <w:autoSpaceDE w:val="0"/>
              <w:autoSpaceDN w:val="0"/>
              <w:spacing w:before="0" w:beforeAutospacing="0" w:after="0" w:afterAutospacing="0" w:line="273" w:lineRule="auto"/>
              <w:ind w:left="0" w:right="0" w:firstLine="420" w:firstLineChars="200"/>
              <w:rPr>
                <w:rFonts w:hint="eastAsia" w:ascii="宋体" w:hAnsi="宋体" w:eastAsia="宋体"/>
                <w:lang w:eastAsia="zh-CN"/>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1AEB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14:paraId="69C8DCCC">
            <w:pPr>
              <w:keepNext w:val="0"/>
              <w:keepLines w:val="0"/>
              <w:suppressLineNumbers w:val="0"/>
              <w:spacing w:before="0" w:beforeAutospacing="0" w:after="0" w:afterAutospacing="0" w:line="340" w:lineRule="exact"/>
              <w:ind w:left="0" w:right="-105"/>
              <w:rPr>
                <w:rFonts w:hint="eastAsia" w:ascii="宋体" w:hAnsi="宋体"/>
                <w:bCs/>
                <w:szCs w:val="21"/>
              </w:rPr>
            </w:pPr>
            <w:r>
              <w:rPr>
                <w:rFonts w:hint="eastAsia" w:ascii="宋体" w:hAnsi="宋体"/>
                <w:szCs w:val="21"/>
              </w:rPr>
              <w:t>需要补充的其他内容：</w:t>
            </w:r>
            <w:r>
              <w:rPr>
                <w:rFonts w:hint="eastAsia" w:ascii="宋体" w:hAnsi="宋体"/>
                <w:bCs/>
                <w:szCs w:val="21"/>
              </w:rPr>
              <w:t>无</w:t>
            </w:r>
          </w:p>
        </w:tc>
      </w:tr>
    </w:tbl>
    <w:p w14:paraId="0A9CAA71"/>
    <w:p w14:paraId="08AB9207">
      <w:pPr>
        <w:jc w:val="right"/>
        <w:rPr>
          <w:rFonts w:hint="eastAsia"/>
        </w:rPr>
      </w:pPr>
      <w:r>
        <w:rPr>
          <w:rFonts w:hint="eastAsia"/>
          <w:lang w:eastAsia="zh"/>
        </w:rPr>
        <w:t xml:space="preserve"> </w:t>
      </w:r>
      <w:r>
        <w:br w:type="page"/>
      </w:r>
      <w:r>
        <w:rPr>
          <w:rFonts w:hint="eastAsia"/>
        </w:rPr>
        <w:t>续上表</w:t>
      </w:r>
    </w:p>
    <w:tbl>
      <w:tblPr>
        <w:tblStyle w:val="8"/>
        <w:tblW w:w="94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28"/>
        <w:gridCol w:w="659"/>
        <w:gridCol w:w="545"/>
        <w:gridCol w:w="1577"/>
        <w:gridCol w:w="565"/>
        <w:gridCol w:w="5510"/>
      </w:tblGrid>
      <w:tr w14:paraId="6CD9F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628" w:type="dxa"/>
            <w:vAlign w:val="center"/>
          </w:tcPr>
          <w:p w14:paraId="0F31347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条款号</w:t>
            </w:r>
          </w:p>
        </w:tc>
        <w:tc>
          <w:tcPr>
            <w:tcW w:w="659" w:type="dxa"/>
            <w:vAlign w:val="center"/>
          </w:tcPr>
          <w:p w14:paraId="049229D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545" w:type="dxa"/>
            <w:vAlign w:val="center"/>
          </w:tcPr>
          <w:p w14:paraId="666143C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评分因素权重分值</w:t>
            </w:r>
          </w:p>
        </w:tc>
        <w:tc>
          <w:tcPr>
            <w:tcW w:w="1577" w:type="dxa"/>
            <w:tcBorders>
              <w:right w:val="single" w:color="auto" w:sz="4" w:space="0"/>
            </w:tcBorders>
            <w:vAlign w:val="center"/>
          </w:tcPr>
          <w:p w14:paraId="20FFBF4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各评分因素细分项</w:t>
            </w:r>
          </w:p>
        </w:tc>
        <w:tc>
          <w:tcPr>
            <w:tcW w:w="565" w:type="dxa"/>
            <w:tcBorders>
              <w:left w:val="single" w:color="auto" w:sz="4" w:space="0"/>
              <w:right w:val="single" w:color="auto" w:sz="4" w:space="0"/>
            </w:tcBorders>
            <w:vAlign w:val="center"/>
          </w:tcPr>
          <w:p w14:paraId="6CB1F7F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分值</w:t>
            </w:r>
          </w:p>
        </w:tc>
        <w:tc>
          <w:tcPr>
            <w:tcW w:w="5510" w:type="dxa"/>
            <w:tcBorders>
              <w:left w:val="single" w:color="auto" w:sz="4" w:space="0"/>
            </w:tcBorders>
            <w:vAlign w:val="center"/>
          </w:tcPr>
          <w:p w14:paraId="393555E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评分标准</w:t>
            </w:r>
          </w:p>
        </w:tc>
      </w:tr>
      <w:tr w14:paraId="4F5E4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restart"/>
            <w:vAlign w:val="center"/>
          </w:tcPr>
          <w:p w14:paraId="15B2D1A1">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2.2.4（1）</w:t>
            </w:r>
          </w:p>
        </w:tc>
        <w:tc>
          <w:tcPr>
            <w:tcW w:w="659" w:type="dxa"/>
            <w:vMerge w:val="restart"/>
            <w:vAlign w:val="center"/>
          </w:tcPr>
          <w:p w14:paraId="218B292F">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
              </w:rPr>
              <w:t>技术</w:t>
            </w:r>
            <w:r>
              <w:rPr>
                <w:rFonts w:hint="eastAsia" w:ascii="宋体" w:hAnsi="宋体" w:cs="宋体"/>
                <w:color w:val="auto"/>
                <w:kern w:val="0"/>
                <w:sz w:val="21"/>
                <w:szCs w:val="21"/>
                <w:highlight w:val="none"/>
                <w:lang w:eastAsia="zh-CN"/>
              </w:rPr>
              <w:t>部分（</w:t>
            </w:r>
            <w:r>
              <w:rPr>
                <w:rFonts w:hint="eastAsia" w:ascii="宋体" w:hAnsi="宋体" w:cs="宋体"/>
                <w:color w:val="auto"/>
                <w:kern w:val="0"/>
                <w:sz w:val="21"/>
                <w:szCs w:val="21"/>
                <w:highlight w:val="none"/>
                <w:lang w:val="en-US" w:eastAsia="zh-CN"/>
              </w:rPr>
              <w:t>暗标</w:t>
            </w:r>
            <w:r>
              <w:rPr>
                <w:rFonts w:hint="eastAsia" w:ascii="宋体" w:hAnsi="宋体" w:cs="宋体"/>
                <w:color w:val="auto"/>
                <w:kern w:val="0"/>
                <w:sz w:val="21"/>
                <w:szCs w:val="21"/>
                <w:highlight w:val="none"/>
                <w:lang w:eastAsia="zh-CN"/>
              </w:rPr>
              <w:t>）</w:t>
            </w:r>
          </w:p>
        </w:tc>
        <w:tc>
          <w:tcPr>
            <w:tcW w:w="545" w:type="dxa"/>
            <w:vMerge w:val="restart"/>
            <w:vAlign w:val="center"/>
          </w:tcPr>
          <w:p w14:paraId="56C6B1E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p>
        </w:tc>
        <w:tc>
          <w:tcPr>
            <w:tcW w:w="1577" w:type="dxa"/>
            <w:tcBorders>
              <w:right w:val="single" w:color="auto" w:sz="4" w:space="0"/>
            </w:tcBorders>
            <w:vAlign w:val="center"/>
          </w:tcPr>
          <w:p w14:paraId="21B8719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snapToGrid w:val="0"/>
                <w:color w:val="auto"/>
                <w:sz w:val="21"/>
                <w:szCs w:val="21"/>
                <w:highlight w:val="none"/>
                <w:lang w:val="en-US" w:eastAsia="zh-CN"/>
              </w:rPr>
              <w:t>完成服务工作的范围、内容、步骤、程序</w:t>
            </w:r>
          </w:p>
        </w:tc>
        <w:tc>
          <w:tcPr>
            <w:tcW w:w="565" w:type="dxa"/>
            <w:tcBorders>
              <w:left w:val="single" w:color="auto" w:sz="4" w:space="0"/>
              <w:right w:val="single" w:color="auto" w:sz="4" w:space="0"/>
            </w:tcBorders>
            <w:vAlign w:val="center"/>
          </w:tcPr>
          <w:p w14:paraId="504997B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510" w:type="dxa"/>
            <w:tcBorders>
              <w:left w:val="single" w:color="auto" w:sz="4" w:space="0"/>
            </w:tcBorders>
            <w:vAlign w:val="center"/>
          </w:tcPr>
          <w:p w14:paraId="3275F4BC">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第一档，科学合理，总体方案完整、内容齐全，有针对性，得</w:t>
            </w:r>
            <w:r>
              <w:rPr>
                <w:rFonts w:hint="eastAsia" w:ascii="宋体" w:hAnsi="宋体" w:cs="宋体"/>
                <w:bCs/>
                <w:szCs w:val="21"/>
                <w:highlight w:val="none"/>
                <w:lang w:val="en-US" w:eastAsia="zh-CN"/>
              </w:rPr>
              <w:t>6</w:t>
            </w:r>
            <w:r>
              <w:rPr>
                <w:rFonts w:hint="eastAsia" w:ascii="宋体" w:hAnsi="宋体" w:cs="宋体"/>
                <w:bCs/>
                <w:szCs w:val="21"/>
                <w:highlight w:val="none"/>
              </w:rPr>
              <w:t>-</w:t>
            </w:r>
            <w:r>
              <w:rPr>
                <w:rFonts w:hint="eastAsia" w:ascii="宋体" w:hAnsi="宋体" w:cs="宋体"/>
                <w:bCs/>
                <w:szCs w:val="21"/>
                <w:highlight w:val="none"/>
                <w:lang w:val="en-US" w:eastAsia="zh-CN"/>
              </w:rPr>
              <w:t>10</w:t>
            </w:r>
            <w:r>
              <w:rPr>
                <w:rFonts w:hint="eastAsia" w:ascii="宋体" w:hAnsi="宋体" w:cs="宋体"/>
                <w:bCs/>
                <w:szCs w:val="21"/>
                <w:highlight w:val="none"/>
              </w:rPr>
              <w:t>分；</w:t>
            </w:r>
          </w:p>
          <w:p w14:paraId="74F776DB">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第二档，较科学合理，总体方案较完整，得</w:t>
            </w:r>
            <w:r>
              <w:rPr>
                <w:rFonts w:hint="eastAsia" w:ascii="宋体" w:hAnsi="宋体" w:cs="宋体"/>
                <w:bCs/>
                <w:szCs w:val="21"/>
                <w:highlight w:val="none"/>
                <w:lang w:val="en-US" w:eastAsia="zh-CN"/>
              </w:rPr>
              <w:t>6</w:t>
            </w:r>
            <w:r>
              <w:rPr>
                <w:rFonts w:hint="eastAsia" w:ascii="宋体" w:hAnsi="宋体" w:cs="宋体"/>
                <w:bCs/>
                <w:szCs w:val="21"/>
                <w:highlight w:val="none"/>
              </w:rPr>
              <w:t>-</w:t>
            </w:r>
            <w:r>
              <w:rPr>
                <w:rFonts w:hint="eastAsia" w:ascii="宋体" w:hAnsi="宋体" w:cs="宋体"/>
                <w:bCs/>
                <w:szCs w:val="21"/>
                <w:highlight w:val="none"/>
                <w:lang w:val="en-US" w:eastAsia="zh-CN"/>
              </w:rPr>
              <w:t>8</w:t>
            </w:r>
            <w:r>
              <w:rPr>
                <w:rFonts w:hint="eastAsia" w:ascii="宋体" w:hAnsi="宋体" w:cs="宋体"/>
                <w:bCs/>
                <w:szCs w:val="21"/>
                <w:highlight w:val="none"/>
              </w:rPr>
              <w:t>分；</w:t>
            </w:r>
          </w:p>
          <w:p w14:paraId="202BA3D6">
            <w:pPr>
              <w:keepNext w:val="0"/>
              <w:keepLines w:val="0"/>
              <w:suppressLineNumbers w:val="0"/>
              <w:autoSpaceDE w:val="0"/>
              <w:autoSpaceDN w:val="0"/>
              <w:spacing w:before="0" w:beforeAutospacing="0" w:after="0" w:afterAutospacing="0" w:line="273" w:lineRule="auto"/>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第三档，基本合理，总体方案简单，得</w:t>
            </w:r>
            <w:r>
              <w:rPr>
                <w:rFonts w:hint="eastAsia" w:ascii="宋体" w:hAnsi="宋体" w:cs="宋体"/>
                <w:bCs/>
                <w:szCs w:val="21"/>
                <w:highlight w:val="none"/>
                <w:lang w:val="en-US" w:eastAsia="zh-CN"/>
              </w:rPr>
              <w:t>6</w:t>
            </w:r>
            <w:r>
              <w:rPr>
                <w:rFonts w:hint="eastAsia" w:ascii="宋体" w:hAnsi="宋体" w:cs="宋体"/>
                <w:bCs/>
                <w:szCs w:val="21"/>
                <w:highlight w:val="none"/>
              </w:rPr>
              <w:t>分。</w:t>
            </w:r>
          </w:p>
        </w:tc>
      </w:tr>
      <w:tr w14:paraId="7B1CF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continue"/>
            <w:vAlign w:val="center"/>
          </w:tcPr>
          <w:p w14:paraId="7FC43FF5">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659" w:type="dxa"/>
            <w:vMerge w:val="continue"/>
            <w:vAlign w:val="center"/>
          </w:tcPr>
          <w:p w14:paraId="7B3EEF3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545" w:type="dxa"/>
            <w:vMerge w:val="continue"/>
            <w:vAlign w:val="center"/>
          </w:tcPr>
          <w:p w14:paraId="39E19644">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1577" w:type="dxa"/>
            <w:tcBorders>
              <w:right w:val="single" w:color="auto" w:sz="4" w:space="0"/>
            </w:tcBorders>
            <w:vAlign w:val="center"/>
          </w:tcPr>
          <w:p w14:paraId="7E33F3DF">
            <w:pPr>
              <w:pStyle w:val="5"/>
              <w:keepNext w:val="0"/>
              <w:keepLines w:val="0"/>
              <w:suppressLineNumbers w:val="0"/>
              <w:spacing w:before="0" w:beforeAutospacing="0" w:after="0" w:afterAutospacing="0"/>
              <w:ind w:left="0" w:right="0"/>
              <w:jc w:val="left"/>
              <w:rPr>
                <w:rFonts w:hint="default" w:ascii="宋体" w:hAnsi="宋体" w:eastAsia="宋体" w:cs="宋体"/>
                <w:color w:val="auto"/>
                <w:sz w:val="21"/>
                <w:szCs w:val="21"/>
                <w:highlight w:val="none"/>
                <w:lang w:val="en-US"/>
              </w:rPr>
            </w:pPr>
            <w:r>
              <w:rPr>
                <w:rFonts w:hint="eastAsia" w:cs="宋体"/>
                <w:snapToGrid w:val="0"/>
                <w:color w:val="auto"/>
                <w:spacing w:val="0"/>
                <w:w w:val="100"/>
                <w:kern w:val="2"/>
                <w:sz w:val="21"/>
                <w:szCs w:val="21"/>
                <w:highlight w:val="none"/>
                <w:lang w:val="en-US" w:eastAsia="zh-CN" w:bidi="ar-SA"/>
              </w:rPr>
              <w:t>服务工作的重点和难点分析</w:t>
            </w:r>
          </w:p>
        </w:tc>
        <w:tc>
          <w:tcPr>
            <w:tcW w:w="565" w:type="dxa"/>
            <w:tcBorders>
              <w:top w:val="single" w:color="auto" w:sz="4" w:space="0"/>
              <w:left w:val="single" w:color="auto" w:sz="4" w:space="0"/>
              <w:right w:val="single" w:color="auto" w:sz="4" w:space="0"/>
            </w:tcBorders>
            <w:vAlign w:val="center"/>
          </w:tcPr>
          <w:p w14:paraId="595A11B1">
            <w:pPr>
              <w:pStyle w:val="5"/>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510" w:type="dxa"/>
            <w:tcBorders>
              <w:top w:val="single" w:color="auto" w:sz="4" w:space="0"/>
              <w:left w:val="single" w:color="auto" w:sz="4" w:space="0"/>
            </w:tcBorders>
            <w:vAlign w:val="center"/>
          </w:tcPr>
          <w:p w14:paraId="7A6B18CB">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第一档，科学合理，内容详细，得</w:t>
            </w:r>
            <w:r>
              <w:rPr>
                <w:rFonts w:hint="default" w:ascii="宋体" w:hAnsi="宋体" w:cs="宋体"/>
                <w:bCs/>
                <w:szCs w:val="21"/>
                <w:highlight w:val="none"/>
              </w:rPr>
              <w:t>8-10</w:t>
            </w:r>
            <w:r>
              <w:rPr>
                <w:rFonts w:hint="eastAsia" w:ascii="宋体" w:hAnsi="宋体" w:cs="宋体"/>
                <w:bCs/>
                <w:szCs w:val="21"/>
                <w:highlight w:val="none"/>
              </w:rPr>
              <w:t>分；</w:t>
            </w:r>
          </w:p>
          <w:p w14:paraId="556F81D2">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第二档，较科学合理，内容较详细，得</w:t>
            </w:r>
            <w:r>
              <w:rPr>
                <w:rFonts w:hint="default" w:ascii="宋体" w:hAnsi="宋体" w:cs="宋体"/>
                <w:bCs/>
                <w:szCs w:val="21"/>
                <w:highlight w:val="none"/>
              </w:rPr>
              <w:t>6-8</w:t>
            </w:r>
            <w:r>
              <w:rPr>
                <w:rFonts w:hint="eastAsia" w:ascii="宋体" w:hAnsi="宋体" w:cs="宋体"/>
                <w:bCs/>
                <w:szCs w:val="21"/>
                <w:highlight w:val="none"/>
              </w:rPr>
              <w:t>分；</w:t>
            </w:r>
          </w:p>
          <w:p w14:paraId="1C253D1C">
            <w:pPr>
              <w:keepNext w:val="0"/>
              <w:keepLines w:val="0"/>
              <w:suppressLineNumbers w:val="0"/>
              <w:snapToGrid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第三档，基本合理，内容简单，得</w:t>
            </w:r>
            <w:r>
              <w:rPr>
                <w:rFonts w:hint="default" w:ascii="宋体" w:hAnsi="宋体" w:cs="宋体"/>
                <w:bCs/>
                <w:szCs w:val="21"/>
                <w:highlight w:val="none"/>
              </w:rPr>
              <w:t>6</w:t>
            </w:r>
            <w:r>
              <w:rPr>
                <w:rFonts w:hint="eastAsia" w:ascii="宋体" w:hAnsi="宋体" w:cs="宋体"/>
                <w:bCs/>
                <w:szCs w:val="21"/>
                <w:highlight w:val="none"/>
              </w:rPr>
              <w:t>分。</w:t>
            </w:r>
          </w:p>
        </w:tc>
      </w:tr>
      <w:tr w14:paraId="36675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continue"/>
            <w:vAlign w:val="center"/>
          </w:tcPr>
          <w:p w14:paraId="5078EC50">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659" w:type="dxa"/>
            <w:vMerge w:val="continue"/>
            <w:vAlign w:val="center"/>
          </w:tcPr>
          <w:p w14:paraId="29A5C80A">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545" w:type="dxa"/>
            <w:vMerge w:val="continue"/>
            <w:vAlign w:val="center"/>
          </w:tcPr>
          <w:p w14:paraId="07DE9089">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1577" w:type="dxa"/>
            <w:tcBorders>
              <w:top w:val="single" w:color="auto" w:sz="4" w:space="0"/>
              <w:right w:val="single" w:color="auto" w:sz="4" w:space="0"/>
            </w:tcBorders>
            <w:vAlign w:val="center"/>
          </w:tcPr>
          <w:p w14:paraId="39FB7FE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cs="宋体"/>
                <w:snapToGrid w:val="0"/>
                <w:color w:val="auto"/>
                <w:spacing w:val="0"/>
                <w:w w:val="100"/>
                <w:kern w:val="2"/>
                <w:sz w:val="21"/>
                <w:szCs w:val="21"/>
                <w:highlight w:val="none"/>
                <w:lang w:val="en-US" w:eastAsia="zh-CN" w:bidi="ar-SA"/>
              </w:rPr>
              <w:t>服务工作的质量、进度控制措施</w:t>
            </w:r>
          </w:p>
        </w:tc>
        <w:tc>
          <w:tcPr>
            <w:tcW w:w="565" w:type="dxa"/>
            <w:tcBorders>
              <w:top w:val="single" w:color="auto" w:sz="4" w:space="0"/>
              <w:left w:val="single" w:color="auto" w:sz="4" w:space="0"/>
              <w:right w:val="single" w:color="auto" w:sz="4" w:space="0"/>
            </w:tcBorders>
            <w:vAlign w:val="center"/>
          </w:tcPr>
          <w:p w14:paraId="5FD2090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pacing w:val="-12"/>
                <w:sz w:val="21"/>
                <w:szCs w:val="21"/>
                <w:highlight w:val="none"/>
                <w:lang w:val="en-US" w:eastAsia="zh-CN"/>
              </w:rPr>
              <w:t>10</w:t>
            </w:r>
            <w:r>
              <w:rPr>
                <w:rFonts w:hint="eastAsia" w:ascii="宋体" w:hAnsi="宋体" w:eastAsia="宋体" w:cs="宋体"/>
                <w:color w:val="auto"/>
                <w:spacing w:val="-12"/>
                <w:sz w:val="21"/>
                <w:szCs w:val="21"/>
                <w:highlight w:val="none"/>
              </w:rPr>
              <w:t>分</w:t>
            </w:r>
          </w:p>
        </w:tc>
        <w:tc>
          <w:tcPr>
            <w:tcW w:w="5510" w:type="dxa"/>
            <w:tcBorders>
              <w:top w:val="single" w:color="auto" w:sz="4" w:space="0"/>
              <w:left w:val="single" w:color="auto" w:sz="4" w:space="0"/>
            </w:tcBorders>
            <w:vAlign w:val="center"/>
          </w:tcPr>
          <w:p w14:paraId="5C677CE4">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第一档，科学合理、完善可行、有针对性，得</w:t>
            </w:r>
            <w:r>
              <w:rPr>
                <w:rFonts w:hint="default" w:ascii="宋体" w:hAnsi="宋体" w:cs="宋体"/>
                <w:bCs/>
                <w:szCs w:val="21"/>
                <w:highlight w:val="none"/>
              </w:rPr>
              <w:t>8-10</w:t>
            </w:r>
            <w:r>
              <w:rPr>
                <w:rFonts w:hint="eastAsia" w:ascii="宋体" w:hAnsi="宋体" w:cs="宋体"/>
                <w:bCs/>
                <w:szCs w:val="21"/>
                <w:highlight w:val="none"/>
              </w:rPr>
              <w:t>分；</w:t>
            </w:r>
          </w:p>
          <w:p w14:paraId="7D4C63B4">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第二档，较科学、较完善可行、较有针对性，得</w:t>
            </w:r>
            <w:r>
              <w:rPr>
                <w:rFonts w:hint="default" w:ascii="宋体" w:hAnsi="宋体" w:cs="宋体"/>
                <w:bCs/>
                <w:szCs w:val="21"/>
                <w:highlight w:val="none"/>
              </w:rPr>
              <w:t>6-8</w:t>
            </w:r>
            <w:r>
              <w:rPr>
                <w:rFonts w:hint="eastAsia" w:ascii="宋体" w:hAnsi="宋体" w:cs="宋体"/>
                <w:bCs/>
                <w:szCs w:val="21"/>
                <w:highlight w:val="none"/>
              </w:rPr>
              <w:t>分；</w:t>
            </w:r>
          </w:p>
          <w:p w14:paraId="74B9C997">
            <w:pPr>
              <w:keepNext w:val="0"/>
              <w:keepLines w:val="0"/>
              <w:suppressLineNumbers w:val="0"/>
              <w:snapToGrid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第三档，保证措施一般，得</w:t>
            </w:r>
            <w:r>
              <w:rPr>
                <w:rFonts w:hint="default" w:ascii="宋体" w:hAnsi="宋体" w:cs="宋体"/>
                <w:bCs/>
                <w:szCs w:val="21"/>
                <w:highlight w:val="none"/>
              </w:rPr>
              <w:t>6</w:t>
            </w:r>
            <w:r>
              <w:rPr>
                <w:rFonts w:hint="eastAsia" w:ascii="宋体" w:hAnsi="宋体" w:cs="宋体"/>
                <w:bCs/>
                <w:szCs w:val="21"/>
                <w:highlight w:val="none"/>
              </w:rPr>
              <w:t>分。</w:t>
            </w:r>
          </w:p>
        </w:tc>
      </w:tr>
      <w:tr w14:paraId="2B691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628" w:type="dxa"/>
            <w:vMerge w:val="continue"/>
            <w:vAlign w:val="center"/>
          </w:tcPr>
          <w:p w14:paraId="1C1B773C">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659" w:type="dxa"/>
            <w:vMerge w:val="continue"/>
            <w:vAlign w:val="center"/>
          </w:tcPr>
          <w:p w14:paraId="48008EEE">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545" w:type="dxa"/>
            <w:vMerge w:val="continue"/>
            <w:vAlign w:val="center"/>
          </w:tcPr>
          <w:p w14:paraId="687C384E">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kern w:val="0"/>
                <w:sz w:val="21"/>
                <w:szCs w:val="21"/>
                <w:highlight w:val="none"/>
              </w:rPr>
            </w:pPr>
          </w:p>
        </w:tc>
        <w:tc>
          <w:tcPr>
            <w:tcW w:w="1577" w:type="dxa"/>
            <w:tcBorders>
              <w:top w:val="single" w:color="auto" w:sz="4" w:space="0"/>
              <w:right w:val="single" w:color="auto" w:sz="4" w:space="0"/>
            </w:tcBorders>
            <w:vAlign w:val="center"/>
          </w:tcPr>
          <w:p w14:paraId="287114F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snapToGrid w:val="0"/>
                <w:color w:val="auto"/>
                <w:sz w:val="21"/>
                <w:szCs w:val="21"/>
                <w:highlight w:val="none"/>
              </w:rPr>
              <w:t>后续服务</w:t>
            </w:r>
          </w:p>
        </w:tc>
        <w:tc>
          <w:tcPr>
            <w:tcW w:w="565" w:type="dxa"/>
            <w:tcBorders>
              <w:top w:val="single" w:color="auto" w:sz="4" w:space="0"/>
              <w:left w:val="single" w:color="auto" w:sz="4" w:space="0"/>
              <w:right w:val="single" w:color="auto" w:sz="4" w:space="0"/>
            </w:tcBorders>
            <w:vAlign w:val="center"/>
          </w:tcPr>
          <w:p w14:paraId="2BA8498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510" w:type="dxa"/>
            <w:tcBorders>
              <w:top w:val="single" w:color="auto" w:sz="4" w:space="0"/>
              <w:left w:val="single" w:color="auto" w:sz="4" w:space="0"/>
            </w:tcBorders>
            <w:vAlign w:val="center"/>
          </w:tcPr>
          <w:p w14:paraId="59E7617D">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第一档，服务措施系统全面、科学合理，得8-10分；</w:t>
            </w:r>
          </w:p>
          <w:p w14:paraId="6C42D9C1">
            <w:pPr>
              <w:keepNext w:val="0"/>
              <w:keepLines w:val="0"/>
              <w:suppressLineNumbers w:val="0"/>
              <w:snapToGrid w:val="0"/>
              <w:spacing w:before="0" w:beforeAutospacing="0" w:after="0" w:afterAutospacing="0"/>
              <w:ind w:left="0" w:right="0"/>
              <w:rPr>
                <w:rFonts w:hint="default" w:ascii="宋体" w:hAnsi="宋体" w:cs="宋体"/>
                <w:bCs/>
                <w:szCs w:val="21"/>
                <w:highlight w:val="none"/>
              </w:rPr>
            </w:pPr>
            <w:r>
              <w:rPr>
                <w:rFonts w:hint="eastAsia" w:ascii="宋体" w:hAnsi="宋体" w:cs="宋体"/>
                <w:bCs/>
                <w:szCs w:val="21"/>
                <w:highlight w:val="none"/>
              </w:rPr>
              <w:t>第二档，服务措施较完整、较科学，得6-8分；</w:t>
            </w:r>
          </w:p>
          <w:p w14:paraId="35923D49">
            <w:pPr>
              <w:keepNext w:val="0"/>
              <w:keepLines w:val="0"/>
              <w:suppressLineNumbers w:val="0"/>
              <w:snapToGrid w:val="0"/>
              <w:spacing w:before="0" w:beforeAutospacing="0" w:after="0" w:afterAutospacing="0"/>
              <w:ind w:left="0" w:leftChars="0" w:right="0" w:rightChars="0"/>
              <w:rPr>
                <w:rFonts w:hint="eastAsia" w:ascii="宋体" w:hAnsi="宋体" w:eastAsia="宋体" w:cs="宋体"/>
                <w:color w:val="auto"/>
                <w:sz w:val="21"/>
                <w:szCs w:val="21"/>
                <w:highlight w:val="none"/>
              </w:rPr>
            </w:pPr>
            <w:r>
              <w:rPr>
                <w:rFonts w:hint="eastAsia" w:ascii="宋体" w:hAnsi="宋体" w:cs="宋体"/>
                <w:bCs/>
                <w:szCs w:val="21"/>
                <w:highlight w:val="none"/>
              </w:rPr>
              <w:t>第三档，服务措施基本完整或基本合理，得</w:t>
            </w:r>
            <w:r>
              <w:rPr>
                <w:rFonts w:hint="default" w:ascii="宋体" w:hAnsi="宋体" w:cs="宋体"/>
                <w:bCs/>
                <w:szCs w:val="21"/>
                <w:highlight w:val="none"/>
              </w:rPr>
              <w:t>6</w:t>
            </w:r>
            <w:r>
              <w:rPr>
                <w:rFonts w:hint="eastAsia" w:ascii="宋体" w:hAnsi="宋体" w:cs="宋体"/>
                <w:bCs/>
                <w:szCs w:val="21"/>
                <w:highlight w:val="none"/>
              </w:rPr>
              <w:t>分。</w:t>
            </w:r>
          </w:p>
        </w:tc>
      </w:tr>
      <w:tr w14:paraId="3C519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628" w:type="dxa"/>
            <w:vMerge w:val="restart"/>
            <w:vAlign w:val="center"/>
          </w:tcPr>
          <w:p w14:paraId="37956BD3">
            <w:pPr>
              <w:keepNext w:val="0"/>
              <w:keepLines w:val="0"/>
              <w:suppressLineNumbers w:val="0"/>
              <w:autoSpaceDE w:val="0"/>
              <w:autoSpaceDN w:val="0"/>
              <w:spacing w:before="0" w:beforeAutospacing="0" w:after="0" w:afterAutospacing="0"/>
              <w:ind w:left="0" w:right="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2.2.4（2）</w:t>
            </w:r>
          </w:p>
        </w:tc>
        <w:tc>
          <w:tcPr>
            <w:tcW w:w="659" w:type="dxa"/>
            <w:vMerge w:val="restart"/>
            <w:vAlign w:val="center"/>
          </w:tcPr>
          <w:p w14:paraId="1AE2344F">
            <w:pPr>
              <w:keepNext w:val="0"/>
              <w:keepLines w:val="0"/>
              <w:suppressLineNumbers w:val="0"/>
              <w:autoSpaceDE w:val="0"/>
              <w:autoSpaceDN w:val="0"/>
              <w:spacing w:before="0" w:beforeAutospacing="0" w:after="0" w:afterAutospacing="0"/>
              <w:ind w:left="0" w:right="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其他因素</w:t>
            </w:r>
          </w:p>
        </w:tc>
        <w:tc>
          <w:tcPr>
            <w:tcW w:w="545" w:type="dxa"/>
            <w:vMerge w:val="restart"/>
            <w:vAlign w:val="center"/>
          </w:tcPr>
          <w:p w14:paraId="23318045">
            <w:pPr>
              <w:keepNext w:val="0"/>
              <w:keepLines w:val="0"/>
              <w:suppressLineNumbers w:val="0"/>
              <w:autoSpaceDE w:val="0"/>
              <w:autoSpaceDN w:val="0"/>
              <w:spacing w:before="0" w:beforeAutospacing="0" w:after="0" w:afterAutospacing="0"/>
              <w:ind w:left="0" w:right="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15分</w:t>
            </w:r>
          </w:p>
        </w:tc>
        <w:tc>
          <w:tcPr>
            <w:tcW w:w="1577" w:type="dxa"/>
            <w:vMerge w:val="restart"/>
            <w:tcBorders>
              <w:top w:val="single" w:color="auto" w:sz="4" w:space="0"/>
              <w:right w:val="single" w:color="auto" w:sz="4" w:space="0"/>
            </w:tcBorders>
            <w:vAlign w:val="center"/>
          </w:tcPr>
          <w:p w14:paraId="655F31A6">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项目负责人业绩</w:t>
            </w:r>
          </w:p>
        </w:tc>
        <w:tc>
          <w:tcPr>
            <w:tcW w:w="565" w:type="dxa"/>
            <w:tcBorders>
              <w:top w:val="single" w:color="auto" w:sz="4" w:space="0"/>
              <w:left w:val="single" w:color="auto" w:sz="4" w:space="0"/>
              <w:right w:val="single" w:color="auto" w:sz="4" w:space="0"/>
            </w:tcBorders>
            <w:vAlign w:val="center"/>
          </w:tcPr>
          <w:p w14:paraId="1B00CFE9">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5510" w:type="dxa"/>
            <w:tcBorders>
              <w:top w:val="single" w:color="auto" w:sz="4" w:space="0"/>
              <w:left w:val="single" w:color="auto" w:sz="4" w:space="0"/>
            </w:tcBorders>
            <w:vAlign w:val="center"/>
          </w:tcPr>
          <w:p w14:paraId="3A7B3308">
            <w:pPr>
              <w:keepNext w:val="0"/>
              <w:keepLines w:val="0"/>
              <w:suppressLineNumbers w:val="0"/>
              <w:snapToGrid w:val="0"/>
              <w:spacing w:before="0" w:beforeAutospacing="0" w:after="0" w:afterAutospacing="0" w:line="264" w:lineRule="auto"/>
              <w:ind w:left="0" w:leftChars="0" w:right="0" w:rightChars="0"/>
              <w:rPr>
                <w:rFonts w:hint="eastAsia" w:ascii="宋体" w:hAnsi="宋体" w:cs="宋体"/>
                <w:bCs/>
                <w:szCs w:val="21"/>
                <w:highlight w:val="none"/>
              </w:rPr>
            </w:pPr>
            <w:r>
              <w:rPr>
                <w:rFonts w:hint="eastAsia" w:ascii="宋体" w:hAnsi="宋体" w:eastAsia="宋体" w:cs="宋体"/>
                <w:color w:val="000000"/>
                <w:sz w:val="21"/>
                <w:szCs w:val="21"/>
                <w:highlight w:val="none"/>
              </w:rPr>
              <w:t>满足资格审查条件要求（项目负责人最低要求）得9分；</w:t>
            </w:r>
          </w:p>
        </w:tc>
      </w:tr>
      <w:tr w14:paraId="5EB46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628" w:type="dxa"/>
            <w:vMerge w:val="continue"/>
            <w:vAlign w:val="center"/>
          </w:tcPr>
          <w:p w14:paraId="3CBB09C4">
            <w:pPr>
              <w:keepNext w:val="0"/>
              <w:keepLines w:val="0"/>
              <w:suppressLineNumbers w:val="0"/>
              <w:snapToGrid w:val="0"/>
              <w:spacing w:before="0" w:beforeAutospacing="0" w:after="0" w:afterAutospacing="0"/>
              <w:ind w:left="0" w:leftChars="0" w:right="0" w:rightChars="0"/>
              <w:rPr>
                <w:rFonts w:hint="default"/>
              </w:rPr>
            </w:pPr>
          </w:p>
        </w:tc>
        <w:tc>
          <w:tcPr>
            <w:tcW w:w="659" w:type="dxa"/>
            <w:vMerge w:val="continue"/>
            <w:vAlign w:val="center"/>
          </w:tcPr>
          <w:p w14:paraId="07DDFF27">
            <w:pPr>
              <w:keepNext w:val="0"/>
              <w:keepLines w:val="0"/>
              <w:suppressLineNumbers w:val="0"/>
              <w:snapToGrid w:val="0"/>
              <w:spacing w:before="0" w:beforeAutospacing="0" w:after="0" w:afterAutospacing="0"/>
              <w:ind w:left="0" w:leftChars="0" w:right="0" w:rightChars="0"/>
              <w:rPr>
                <w:rFonts w:hint="default"/>
              </w:rPr>
            </w:pPr>
          </w:p>
        </w:tc>
        <w:tc>
          <w:tcPr>
            <w:tcW w:w="545" w:type="dxa"/>
            <w:vMerge w:val="continue"/>
            <w:vAlign w:val="center"/>
          </w:tcPr>
          <w:p w14:paraId="080947EF">
            <w:pPr>
              <w:keepNext w:val="0"/>
              <w:keepLines w:val="0"/>
              <w:suppressLineNumbers w:val="0"/>
              <w:snapToGrid w:val="0"/>
              <w:spacing w:before="0" w:beforeAutospacing="0" w:after="0" w:afterAutospacing="0"/>
              <w:ind w:left="0" w:leftChars="0" w:right="0" w:rightChars="0"/>
              <w:rPr>
                <w:rFonts w:hint="default"/>
              </w:rPr>
            </w:pPr>
          </w:p>
        </w:tc>
        <w:tc>
          <w:tcPr>
            <w:tcW w:w="1577" w:type="dxa"/>
            <w:vMerge w:val="continue"/>
            <w:tcBorders>
              <w:right w:val="single" w:color="auto" w:sz="4" w:space="0"/>
            </w:tcBorders>
            <w:vAlign w:val="center"/>
          </w:tcPr>
          <w:p w14:paraId="757169D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65" w:type="dxa"/>
            <w:tcBorders>
              <w:top w:val="single" w:color="auto" w:sz="4" w:space="0"/>
              <w:left w:val="single" w:color="auto" w:sz="4" w:space="0"/>
              <w:right w:val="single" w:color="auto" w:sz="4" w:space="0"/>
            </w:tcBorders>
            <w:vAlign w:val="center"/>
          </w:tcPr>
          <w:p w14:paraId="3B82D883">
            <w:pPr>
              <w:keepNext w:val="0"/>
              <w:keepLines w:val="0"/>
              <w:suppressLineNumbers w:val="0"/>
              <w:autoSpaceDE w:val="0"/>
              <w:autoSpaceDN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5510" w:type="dxa"/>
            <w:tcBorders>
              <w:top w:val="single" w:color="auto" w:sz="4" w:space="0"/>
              <w:left w:val="single" w:color="auto" w:sz="4" w:space="0"/>
            </w:tcBorders>
            <w:vAlign w:val="center"/>
          </w:tcPr>
          <w:p w14:paraId="4F7580BF">
            <w:pPr>
              <w:keepNext w:val="0"/>
              <w:keepLines w:val="0"/>
              <w:suppressLineNumbers w:val="0"/>
              <w:snapToGrid w:val="0"/>
              <w:spacing w:before="0" w:beforeAutospacing="0" w:after="0" w:afterAutospacing="0" w:line="264" w:lineRule="auto"/>
              <w:ind w:left="0" w:leftChars="0" w:right="0" w:rightChars="0"/>
              <w:rPr>
                <w:rFonts w:hint="eastAsia" w:ascii="宋体" w:hAnsi="宋体" w:cs="宋体"/>
                <w:color w:val="auto"/>
                <w:sz w:val="21"/>
                <w:szCs w:val="21"/>
                <w:highlight w:val="none"/>
                <w:lang w:val="en-US" w:eastAsia="zh-CN"/>
              </w:rPr>
            </w:pPr>
            <w:r>
              <w:rPr>
                <w:rFonts w:hint="eastAsia" w:ascii="宋体" w:hAnsi="宋体" w:eastAsia="宋体" w:cs="宋体"/>
                <w:color w:val="000000"/>
                <w:sz w:val="21"/>
                <w:szCs w:val="21"/>
                <w:highlight w:val="none"/>
              </w:rPr>
              <w:t>每增加一项满足资格审查条件要求(项目负责人最低要求)的项目负责人业绩加</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分，最高加6分。</w:t>
            </w:r>
          </w:p>
        </w:tc>
      </w:tr>
      <w:tr w14:paraId="39367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0" w:hRule="atLeast"/>
        </w:trPr>
        <w:tc>
          <w:tcPr>
            <w:tcW w:w="628" w:type="dxa"/>
            <w:vMerge w:val="restart"/>
            <w:vAlign w:val="center"/>
          </w:tcPr>
          <w:p w14:paraId="2137C368">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2.2.4（</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p>
        </w:tc>
        <w:tc>
          <w:tcPr>
            <w:tcW w:w="659" w:type="dxa"/>
            <w:vMerge w:val="restart"/>
            <w:vAlign w:val="center"/>
          </w:tcPr>
          <w:p w14:paraId="75923D7E">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eastAsia="zh"/>
              </w:rPr>
            </w:pPr>
            <w:r>
              <w:rPr>
                <w:rFonts w:hint="eastAsia" w:ascii="宋体" w:hAnsi="宋体" w:eastAsia="宋体" w:cs="宋体"/>
                <w:color w:val="000000"/>
                <w:sz w:val="21"/>
                <w:szCs w:val="21"/>
                <w:highlight w:val="none"/>
                <w:lang w:eastAsia="zh"/>
              </w:rPr>
              <w:t>企业</w:t>
            </w:r>
          </w:p>
          <w:p w14:paraId="01E895E8">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w:t>
            </w:r>
          </w:p>
        </w:tc>
        <w:tc>
          <w:tcPr>
            <w:tcW w:w="545" w:type="dxa"/>
            <w:vMerge w:val="restart"/>
            <w:vAlign w:val="center"/>
          </w:tcPr>
          <w:p w14:paraId="33A8D455">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tc>
        <w:tc>
          <w:tcPr>
            <w:tcW w:w="1577" w:type="dxa"/>
            <w:tcBorders>
              <w:top w:val="single" w:color="auto" w:sz="4" w:space="0"/>
              <w:bottom w:val="single" w:color="auto" w:sz="4" w:space="0"/>
              <w:right w:val="single" w:color="auto" w:sz="4" w:space="0"/>
            </w:tcBorders>
            <w:vAlign w:val="center"/>
          </w:tcPr>
          <w:p w14:paraId="0BB9A862">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w:t>
            </w:r>
          </w:p>
        </w:tc>
        <w:tc>
          <w:tcPr>
            <w:tcW w:w="565" w:type="dxa"/>
            <w:tcBorders>
              <w:top w:val="single" w:color="auto" w:sz="4" w:space="0"/>
              <w:left w:val="single" w:color="auto" w:sz="4" w:space="0"/>
              <w:bottom w:val="single" w:color="auto" w:sz="4" w:space="0"/>
              <w:right w:val="single" w:color="auto" w:sz="4" w:space="0"/>
            </w:tcBorders>
            <w:vAlign w:val="center"/>
          </w:tcPr>
          <w:p w14:paraId="40D57737">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分</w:t>
            </w:r>
          </w:p>
        </w:tc>
        <w:tc>
          <w:tcPr>
            <w:tcW w:w="5510" w:type="dxa"/>
            <w:tcBorders>
              <w:top w:val="single" w:color="auto" w:sz="4" w:space="0"/>
              <w:left w:val="single" w:color="auto" w:sz="4" w:space="0"/>
              <w:bottom w:val="single" w:color="auto" w:sz="4" w:space="0"/>
            </w:tcBorders>
            <w:vAlign w:val="center"/>
          </w:tcPr>
          <w:p w14:paraId="7D1EA12C">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满足资格审查条件，得</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分</w:t>
            </w:r>
          </w:p>
        </w:tc>
      </w:tr>
      <w:tr w14:paraId="0308C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trPr>
        <w:tc>
          <w:tcPr>
            <w:tcW w:w="628" w:type="dxa"/>
            <w:vMerge w:val="continue"/>
            <w:vAlign w:val="center"/>
          </w:tcPr>
          <w:p w14:paraId="52231668">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659" w:type="dxa"/>
            <w:vMerge w:val="continue"/>
            <w:vAlign w:val="center"/>
          </w:tcPr>
          <w:p w14:paraId="696D2C8B">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545" w:type="dxa"/>
            <w:vMerge w:val="continue"/>
            <w:vAlign w:val="center"/>
          </w:tcPr>
          <w:p w14:paraId="519550AA">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rPr>
            </w:pPr>
          </w:p>
        </w:tc>
        <w:tc>
          <w:tcPr>
            <w:tcW w:w="1577" w:type="dxa"/>
            <w:tcBorders>
              <w:top w:val="single" w:color="auto" w:sz="4" w:space="0"/>
              <w:bottom w:val="single" w:color="auto" w:sz="4" w:space="0"/>
              <w:right w:val="single" w:color="auto" w:sz="4" w:space="0"/>
            </w:tcBorders>
            <w:vAlign w:val="center"/>
          </w:tcPr>
          <w:p w14:paraId="1EE6B9F0">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类似项目业绩</w:t>
            </w:r>
          </w:p>
        </w:tc>
        <w:tc>
          <w:tcPr>
            <w:tcW w:w="565" w:type="dxa"/>
            <w:tcBorders>
              <w:top w:val="single" w:color="auto" w:sz="4" w:space="0"/>
              <w:left w:val="single" w:color="auto" w:sz="4" w:space="0"/>
              <w:bottom w:val="single" w:color="auto" w:sz="4" w:space="0"/>
              <w:right w:val="single" w:color="auto" w:sz="4" w:space="0"/>
            </w:tcBorders>
            <w:vAlign w:val="center"/>
          </w:tcPr>
          <w:p w14:paraId="03C42D82">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分</w:t>
            </w:r>
          </w:p>
        </w:tc>
        <w:tc>
          <w:tcPr>
            <w:tcW w:w="5510" w:type="dxa"/>
            <w:tcBorders>
              <w:top w:val="single" w:color="auto" w:sz="4" w:space="0"/>
              <w:left w:val="single" w:color="auto" w:sz="4" w:space="0"/>
              <w:bottom w:val="single" w:color="auto" w:sz="4" w:space="0"/>
            </w:tcBorders>
            <w:vAlign w:val="center"/>
          </w:tcPr>
          <w:p w14:paraId="00CC0673">
            <w:pPr>
              <w:keepNext w:val="0"/>
              <w:keepLines w:val="0"/>
              <w:suppressLineNumbers w:val="0"/>
              <w:snapToGrid w:val="0"/>
              <w:spacing w:before="0" w:beforeAutospacing="0" w:after="0" w:afterAutospacing="0" w:line="264" w:lineRule="auto"/>
              <w:ind w:left="0" w:right="0"/>
              <w:rPr>
                <w:rFonts w:hint="eastAsia" w:ascii="宋体" w:hAnsi="宋体" w:eastAsia="宋体" w:cs="宋体"/>
                <w:color w:val="000000"/>
                <w:sz w:val="21"/>
                <w:szCs w:val="21"/>
                <w:highlight w:val="none"/>
                <w:lang w:eastAsia="zh"/>
              </w:rPr>
            </w:pPr>
            <w:r>
              <w:rPr>
                <w:rFonts w:hint="eastAsia" w:ascii="宋体" w:hAnsi="宋体" w:eastAsia="宋体" w:cs="宋体"/>
                <w:color w:val="000000"/>
                <w:sz w:val="21"/>
                <w:szCs w:val="21"/>
                <w:highlight w:val="none"/>
              </w:rPr>
              <w:t>每增加一项满足资格审查条件要求(业绩最低要求)的业绩加</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分，最高加</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tc>
      </w:tr>
      <w:tr w14:paraId="01DD9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trPr>
        <w:tc>
          <w:tcPr>
            <w:tcW w:w="628" w:type="dxa"/>
            <w:vAlign w:val="center"/>
          </w:tcPr>
          <w:p w14:paraId="0FE62D97">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2.2.4（</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w:t>
            </w:r>
          </w:p>
        </w:tc>
        <w:tc>
          <w:tcPr>
            <w:tcW w:w="659" w:type="dxa"/>
            <w:vAlign w:val="center"/>
          </w:tcPr>
          <w:p w14:paraId="19129FA5">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rPr>
              <w:t>评标价</w:t>
            </w:r>
          </w:p>
        </w:tc>
        <w:tc>
          <w:tcPr>
            <w:tcW w:w="545" w:type="dxa"/>
            <w:vAlign w:val="center"/>
          </w:tcPr>
          <w:p w14:paraId="63240385">
            <w:pPr>
              <w:keepNext w:val="0"/>
              <w:keepLines w:val="0"/>
              <w:suppressLineNumbers w:val="0"/>
              <w:autoSpaceDE w:val="0"/>
              <w:autoSpaceDN w:val="0"/>
              <w:spacing w:before="0" w:beforeAutospacing="0" w:after="0" w:afterAutospacing="0"/>
              <w:ind w:left="0" w:leftChars="0" w:right="0" w:rightChars="0"/>
              <w:jc w:val="center"/>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lang w:val="en-US" w:eastAsia="zh-CN"/>
              </w:rPr>
              <w:t>30</w:t>
            </w:r>
            <w:r>
              <w:rPr>
                <w:rFonts w:hint="eastAsia" w:ascii="宋体" w:hAnsi="宋体" w:eastAsia="宋体" w:cs="宋体"/>
                <w:color w:val="000000"/>
                <w:kern w:val="0"/>
                <w:sz w:val="21"/>
                <w:szCs w:val="21"/>
              </w:rPr>
              <w:t>分</w:t>
            </w:r>
          </w:p>
        </w:tc>
        <w:tc>
          <w:tcPr>
            <w:tcW w:w="7652" w:type="dxa"/>
            <w:gridSpan w:val="3"/>
            <w:tcBorders>
              <w:top w:val="single" w:color="auto" w:sz="4" w:space="0"/>
            </w:tcBorders>
            <w:vAlign w:val="center"/>
          </w:tcPr>
          <w:p w14:paraId="2B66ED6C">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评标价得分计算公式：</w:t>
            </w:r>
          </w:p>
          <w:p w14:paraId="059F0C6F">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（1）如果投标人的评标价＞评标基准价，则评标价得分=F-偏差率×100×E1；</w:t>
            </w:r>
          </w:p>
          <w:p w14:paraId="2A387D7C">
            <w:pPr>
              <w:keepNext w:val="0"/>
              <w:keepLines w:val="0"/>
              <w:suppressLineNumbers w:val="0"/>
              <w:spacing w:before="0" w:beforeAutospacing="0" w:after="0" w:afterAutospacing="0"/>
              <w:ind w:left="0" w:right="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（2）如果投标人的评标价≤评标基准价，则评标价得分=F+偏差率×100×E2。</w:t>
            </w:r>
          </w:p>
          <w:p w14:paraId="584E28D2">
            <w:pPr>
              <w:keepNext w:val="0"/>
              <w:keepLines w:val="0"/>
              <w:suppressLineNumbers w:val="0"/>
              <w:spacing w:before="0" w:beforeAutospacing="0" w:after="0" w:afterAutospacing="0"/>
              <w:ind w:left="0" w:leftChars="0" w:right="0" w:rightChars="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其中，F=30；E1=0.4；E2=0.2；评标价最低得分为0分，保留2位小数。</w:t>
            </w:r>
          </w:p>
        </w:tc>
      </w:tr>
    </w:tbl>
    <w:p w14:paraId="05DE3894">
      <w:pPr>
        <w:rPr>
          <w:rFonts w:hint="eastAsia"/>
        </w:rPr>
      </w:pPr>
      <w:r>
        <w:rPr>
          <w:rFonts w:hint="eastAsia"/>
        </w:rPr>
        <w:t>注：1、技术部分各项得分应以评标委员会各成员的打分平均值确定；评委打分保留1位小数，汇总得分保留小数点后两位。</w:t>
      </w:r>
    </w:p>
    <w:p w14:paraId="0CF650F9">
      <w:pPr>
        <w:rPr>
          <w:rFonts w:hint="eastAsia"/>
        </w:rPr>
      </w:pPr>
      <w:r>
        <w:rPr>
          <w:rFonts w:hint="eastAsia"/>
        </w:rPr>
        <w:t>2、技术部分各项评审因素细分项缺项则该项得0分。</w:t>
      </w:r>
    </w:p>
    <w:p w14:paraId="74E69C07">
      <w:pPr>
        <w:adjustRightInd w:val="0"/>
        <w:spacing w:line="360" w:lineRule="auto"/>
        <w:ind w:firstLine="420" w:firstLineChars="200"/>
        <w:rPr>
          <w:bCs/>
          <w:sz w:val="24"/>
          <w:szCs w:val="24"/>
        </w:rPr>
      </w:pPr>
      <w:r>
        <w:rPr>
          <w:rFonts w:hint="eastAsia"/>
        </w:rPr>
        <w:br w:type="page"/>
      </w:r>
    </w:p>
    <w:p w14:paraId="3B7D8E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F4E71"/>
    <w:rsid w:val="289F4E71"/>
    <w:rsid w:val="6248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Body Text Indent"/>
    <w:basedOn w:val="1"/>
    <w:semiHidden/>
    <w:unhideWhenUsed/>
    <w:qFormat/>
    <w:uiPriority w:val="99"/>
    <w:pPr>
      <w:spacing w:after="120"/>
      <w:ind w:left="420" w:leftChars="200"/>
    </w:pPr>
  </w:style>
  <w:style w:type="paragraph" w:styleId="5">
    <w:name w:val="Plain Text"/>
    <w:basedOn w:val="1"/>
    <w:qFormat/>
    <w:uiPriority w:val="0"/>
    <w:pPr>
      <w:spacing w:line="300" w:lineRule="exact"/>
    </w:pPr>
    <w:rPr>
      <w:rFonts w:ascii="宋体" w:hAnsi="宋体" w:cs="宋体"/>
      <w:color w:val="FF0000"/>
      <w:spacing w:val="5"/>
      <w:w w:val="95"/>
      <w:kern w:val="0"/>
      <w:szCs w:val="21"/>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Body Text First Indent 2"/>
    <w:basedOn w:val="4"/>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5089</Words>
  <Characters>5554</Characters>
  <Lines>0</Lines>
  <Paragraphs>0</Paragraphs>
  <TotalTime>1</TotalTime>
  <ScaleCrop>false</ScaleCrop>
  <LinksUpToDate>false</LinksUpToDate>
  <CharactersWithSpaces>5604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2026-04-02T01:10:00Z</dcterms:created>
  <dc:creator>Administrator</dc:creator>
  <cp:lastModifiedBy>冯士峰</cp:lastModifiedBy>
  <dcterms:modified xsi:type="dcterms:W3CDTF">2026-04-02T01:14:04Z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F6D6681244A1421FADE4E54397179307_11</vt:lpwstr>
  </property>
  <property fmtid="{D5CDD505-2E9C-101B-9397-08002B2CF9AE}" pid="4" name="KSOTemplateDocerSaveRecord">
    <vt:lpwstr>eyJoZGlkIjoiMjNhMGNiNzBmYzRmYmU1YWU1ZDVjYzI3MTI0YTIzZjQiLCJ1c2VySWQiOiIxNjg3ODQzOTczIn0=</vt:lpwstr>
  </property>
</Properties>
</file>