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42DE6">
      <w:pPr>
        <w:shd w:val="clear" w:color="auto" w:fill="auto"/>
        <w:spacing w:line="360" w:lineRule="auto"/>
        <w:rPr>
          <w:rFonts w:hint="eastAsia" w:ascii="宋体" w:hAnsi="宋体"/>
          <w:b/>
          <w:bCs/>
          <w:color w:val="auto"/>
          <w:sz w:val="28"/>
          <w:szCs w:val="36"/>
          <w:highlight w:val="none"/>
        </w:rPr>
      </w:pPr>
      <w:bookmarkStart w:id="12" w:name="_GoBack"/>
      <w:bookmarkEnd w:id="12"/>
      <w:bookmarkStart w:id="0" w:name="_Toc155970199"/>
      <w:bookmarkStart w:id="1" w:name="_Toc38880042"/>
      <w:bookmarkStart w:id="2" w:name="_Toc155970155"/>
      <w:bookmarkStart w:id="3" w:name="_Hlk55486170"/>
      <w:bookmarkStart w:id="4" w:name="OLE_LINK1"/>
      <w:r>
        <w:rPr>
          <w:rFonts w:ascii="宋体" w:hAnsi="宋体"/>
          <w:b/>
          <w:bCs/>
          <w:color w:val="auto"/>
          <w:sz w:val="28"/>
          <w:szCs w:val="36"/>
          <w:highlight w:val="none"/>
        </w:rPr>
        <w:t>附件</w:t>
      </w:r>
      <w:r>
        <w:rPr>
          <w:rFonts w:hint="eastAsia" w:ascii="宋体" w:hAnsi="宋体"/>
          <w:b/>
          <w:bCs/>
          <w:color w:val="auto"/>
          <w:sz w:val="28"/>
          <w:szCs w:val="36"/>
          <w:highlight w:val="none"/>
        </w:rPr>
        <w:t>1</w:t>
      </w:r>
      <w:r>
        <w:rPr>
          <w:rFonts w:ascii="宋体" w:hAnsi="宋体"/>
          <w:b/>
          <w:bCs/>
          <w:color w:val="auto"/>
          <w:sz w:val="28"/>
          <w:szCs w:val="36"/>
          <w:highlight w:val="none"/>
        </w:rPr>
        <w:t xml:space="preserve">  资格</w:t>
      </w:r>
      <w:r>
        <w:rPr>
          <w:rFonts w:hint="eastAsia" w:ascii="宋体" w:hAnsi="宋体"/>
          <w:b/>
          <w:bCs/>
          <w:color w:val="auto"/>
          <w:sz w:val="28"/>
          <w:szCs w:val="36"/>
          <w:highlight w:val="none"/>
        </w:rPr>
        <w:t>审查条件</w:t>
      </w:r>
      <w:bookmarkEnd w:id="0"/>
      <w:bookmarkEnd w:id="1"/>
      <w:bookmarkEnd w:id="2"/>
    </w:p>
    <w:p w14:paraId="4A2622E0">
      <w:pPr>
        <w:shd w:val="clear" w:color="auto" w:fill="auto"/>
        <w:tabs>
          <w:tab w:val="left" w:pos="3300"/>
        </w:tabs>
        <w:spacing w:line="360" w:lineRule="auto"/>
        <w:jc w:val="center"/>
        <w:rPr>
          <w:rFonts w:ascii="宋体" w:hAnsi="宋体"/>
          <w:b/>
          <w:color w:val="auto"/>
          <w:sz w:val="24"/>
          <w:highlight w:val="none"/>
        </w:rPr>
      </w:pPr>
    </w:p>
    <w:p w14:paraId="0FDCCCE6">
      <w:pPr>
        <w:shd w:val="clear" w:color="auto" w:fill="auto"/>
        <w:spacing w:line="360" w:lineRule="auto"/>
        <w:jc w:val="center"/>
        <w:rPr>
          <w:rFonts w:ascii="宋体" w:hAnsi="宋体"/>
          <w:b/>
          <w:color w:val="auto"/>
          <w:sz w:val="24"/>
          <w:highlight w:val="none"/>
        </w:rPr>
      </w:pPr>
    </w:p>
    <w:p w14:paraId="14893674">
      <w:pPr>
        <w:shd w:val="clear" w:color="auto" w:fill="auto"/>
        <w:spacing w:line="360" w:lineRule="auto"/>
        <w:jc w:val="center"/>
        <w:rPr>
          <w:rFonts w:hint="eastAsia"/>
          <w:color w:val="auto"/>
          <w:sz w:val="24"/>
          <w:highlight w:val="none"/>
        </w:rPr>
      </w:pPr>
      <w:r>
        <w:rPr>
          <w:rStyle w:val="13"/>
          <w:rFonts w:hint="eastAsia" w:ascii="宋体" w:hAnsi="宋体" w:eastAsia="宋体"/>
          <w:b/>
          <w:color w:val="auto"/>
          <w:highlight w:val="none"/>
        </w:rPr>
        <w:t>附录1  资格审查条件（资质最低</w:t>
      </w:r>
      <w:r>
        <w:rPr>
          <w:rStyle w:val="13"/>
          <w:rFonts w:hint="eastAsia" w:ascii="宋体" w:hAnsi="宋体" w:eastAsia="宋体"/>
          <w:b/>
          <w:color w:val="auto"/>
          <w:highlight w:val="none"/>
          <w:lang w:val="en-US"/>
        </w:rPr>
        <w:t>要求</w:t>
      </w:r>
      <w:r>
        <w:rPr>
          <w:rStyle w:val="13"/>
          <w:rFonts w:hint="eastAsia" w:ascii="宋体" w:hAnsi="宋体" w:eastAsia="宋体"/>
          <w:b/>
          <w:color w:val="auto"/>
          <w:highlight w:val="none"/>
        </w:rPr>
        <w:t>）</w:t>
      </w:r>
    </w:p>
    <w:tbl>
      <w:tblPr>
        <w:tblStyle w:val="9"/>
        <w:tblW w:w="0" w:type="auto"/>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14:paraId="570E41E3">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9322" w:type="dxa"/>
            <w:tcBorders>
              <w:top w:val="single" w:color="auto" w:sz="2" w:space="0"/>
              <w:left w:val="single" w:color="auto" w:sz="2" w:space="0"/>
              <w:bottom w:val="single" w:color="auto" w:sz="6" w:space="0"/>
              <w:right w:val="single" w:color="auto" w:sz="2" w:space="0"/>
            </w:tcBorders>
            <w:noWrap w:val="0"/>
            <w:vAlign w:val="center"/>
          </w:tcPr>
          <w:p w14:paraId="7A211881">
            <w:pPr>
              <w:shd w:val="clear" w:color="auto" w:fill="auto"/>
              <w:spacing w:line="240" w:lineRule="auto"/>
              <w:jc w:val="center"/>
              <w:rPr>
                <w:rFonts w:ascii="宋体" w:hAnsi="宋体"/>
                <w:color w:val="auto"/>
                <w:sz w:val="24"/>
                <w:highlight w:val="none"/>
              </w:rPr>
            </w:pPr>
            <w:r>
              <w:rPr>
                <w:rFonts w:hint="eastAsia" w:ascii="宋体" w:hAnsi="宋体"/>
                <w:color w:val="auto"/>
                <w:sz w:val="24"/>
                <w:highlight w:val="none"/>
              </w:rPr>
              <w:t>资质要求</w:t>
            </w:r>
          </w:p>
        </w:tc>
      </w:tr>
      <w:tr w14:paraId="644FF91C">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trHeight w:val="905" w:hRule="atLeast"/>
          <w:jc w:val="center"/>
        </w:trPr>
        <w:tc>
          <w:tcPr>
            <w:tcW w:w="9322" w:type="dxa"/>
            <w:tcBorders>
              <w:top w:val="single" w:color="auto" w:sz="2" w:space="0"/>
              <w:left w:val="single" w:color="auto" w:sz="2" w:space="0"/>
              <w:bottom w:val="single" w:color="auto" w:sz="2" w:space="0"/>
              <w:right w:val="single" w:color="auto" w:sz="2" w:space="0"/>
            </w:tcBorders>
            <w:noWrap w:val="0"/>
            <w:vAlign w:val="center"/>
          </w:tcPr>
          <w:p w14:paraId="54A7ED71">
            <w:pPr>
              <w:shd w:val="clear" w:color="auto" w:fill="auto"/>
              <w:spacing w:line="240" w:lineRule="auto"/>
              <w:jc w:val="both"/>
              <w:rPr>
                <w:rFonts w:hint="eastAsia" w:ascii="宋体" w:hAnsi="宋体" w:eastAsia="宋体"/>
                <w:color w:val="auto"/>
                <w:sz w:val="24"/>
                <w:highlight w:val="none"/>
                <w:lang w:eastAsia="zh-CN"/>
              </w:rPr>
            </w:pPr>
            <w:r>
              <w:rPr>
                <w:rFonts w:hint="eastAsia" w:ascii="宋体" w:hAnsi="宋体"/>
                <w:color w:val="auto"/>
                <w:sz w:val="24"/>
                <w:highlight w:val="none"/>
              </w:rPr>
              <w:t>投标人应是中华人民共和国境内的法人或其他组织，持有有效的营业执照</w:t>
            </w:r>
            <w:r>
              <w:rPr>
                <w:rFonts w:hint="eastAsia" w:ascii="宋体" w:hAnsi="宋体"/>
                <w:color w:val="auto"/>
                <w:sz w:val="24"/>
                <w:highlight w:val="none"/>
                <w:lang w:eastAsia="zh-CN"/>
              </w:rPr>
              <w:t>。</w:t>
            </w:r>
          </w:p>
        </w:tc>
      </w:tr>
    </w:tbl>
    <w:p w14:paraId="0F04E9D8">
      <w:pPr>
        <w:shd w:val="clear" w:color="auto" w:fill="auto"/>
        <w:spacing w:line="360" w:lineRule="auto"/>
        <w:jc w:val="center"/>
        <w:rPr>
          <w:rStyle w:val="14"/>
          <w:rFonts w:ascii="宋体" w:hAnsi="宋体" w:eastAsia="宋体"/>
          <w:b/>
          <w:color w:val="auto"/>
          <w:highlight w:val="none"/>
        </w:rPr>
      </w:pPr>
    </w:p>
    <w:p w14:paraId="0751E4AE">
      <w:pPr>
        <w:pStyle w:val="8"/>
        <w:shd w:val="clear" w:color="auto" w:fill="auto"/>
        <w:ind w:firstLine="0" w:firstLineChars="0"/>
        <w:jc w:val="center"/>
        <w:rPr>
          <w:rFonts w:hint="eastAsia"/>
          <w:color w:val="auto"/>
          <w:highlight w:val="none"/>
        </w:rPr>
      </w:pPr>
    </w:p>
    <w:p w14:paraId="09E0C98D">
      <w:pPr>
        <w:shd w:val="clear" w:color="auto" w:fill="auto"/>
        <w:spacing w:line="360" w:lineRule="auto"/>
        <w:jc w:val="center"/>
        <w:rPr>
          <w:rFonts w:hint="eastAsia"/>
          <w:color w:val="auto"/>
          <w:sz w:val="24"/>
          <w:highlight w:val="none"/>
        </w:rPr>
      </w:pPr>
      <w:r>
        <w:rPr>
          <w:rStyle w:val="14"/>
          <w:rFonts w:hint="eastAsia" w:ascii="宋体" w:hAnsi="宋体" w:eastAsia="宋体"/>
          <w:b/>
          <w:color w:val="auto"/>
          <w:highlight w:val="none"/>
        </w:rPr>
        <w:t>附录</w:t>
      </w:r>
      <w:r>
        <w:rPr>
          <w:rStyle w:val="14"/>
          <w:rFonts w:ascii="宋体" w:hAnsi="宋体" w:eastAsia="宋体"/>
          <w:b/>
          <w:color w:val="auto"/>
          <w:highlight w:val="none"/>
        </w:rPr>
        <w:t xml:space="preserve">2 </w:t>
      </w:r>
      <w:r>
        <w:rPr>
          <w:rStyle w:val="14"/>
          <w:rFonts w:hint="eastAsia" w:ascii="宋体" w:hAnsi="宋体" w:eastAsia="宋体"/>
          <w:b/>
          <w:color w:val="auto"/>
          <w:highlight w:val="none"/>
        </w:rPr>
        <w:t xml:space="preserve"> 资格审查条件（</w:t>
      </w:r>
      <w:r>
        <w:rPr>
          <w:rFonts w:hint="eastAsia" w:ascii="宋体" w:hAnsi="宋体"/>
          <w:b/>
          <w:color w:val="auto"/>
          <w:sz w:val="24"/>
          <w:highlight w:val="none"/>
        </w:rPr>
        <w:t>业绩最低</w:t>
      </w:r>
      <w:r>
        <w:rPr>
          <w:rStyle w:val="13"/>
          <w:rFonts w:hint="eastAsia" w:ascii="宋体" w:hAnsi="宋体" w:eastAsia="宋体"/>
          <w:b/>
          <w:color w:val="auto"/>
          <w:highlight w:val="none"/>
          <w:lang w:val="en-US"/>
        </w:rPr>
        <w:t>要求</w:t>
      </w:r>
      <w:r>
        <w:rPr>
          <w:rStyle w:val="14"/>
          <w:rFonts w:hint="eastAsia" w:ascii="宋体" w:hAnsi="宋体" w:eastAsia="宋体"/>
          <w:b/>
          <w:color w:val="auto"/>
          <w:highlight w:val="none"/>
        </w:rPr>
        <w:t>）</w:t>
      </w:r>
    </w:p>
    <w:tbl>
      <w:tblPr>
        <w:tblStyle w:val="9"/>
        <w:tblpPr w:leftFromText="180" w:rightFromText="180" w:vertAnchor="text" w:horzAnchor="margin" w:tblpXSpec="center" w:tblpY="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2"/>
      </w:tblGrid>
      <w:tr w14:paraId="5CDAC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322" w:type="dxa"/>
            <w:noWrap w:val="0"/>
            <w:vAlign w:val="center"/>
          </w:tcPr>
          <w:p w14:paraId="04D66759">
            <w:pPr>
              <w:shd w:val="clear" w:color="auto" w:fill="auto"/>
              <w:spacing w:line="240" w:lineRule="auto"/>
              <w:jc w:val="center"/>
              <w:rPr>
                <w:rFonts w:ascii="宋体" w:hAnsi="宋体"/>
                <w:color w:val="auto"/>
                <w:sz w:val="24"/>
                <w:highlight w:val="none"/>
              </w:rPr>
            </w:pPr>
            <w:r>
              <w:rPr>
                <w:rFonts w:hint="eastAsia" w:ascii="宋体" w:hAnsi="宋体"/>
                <w:color w:val="auto"/>
                <w:sz w:val="24"/>
                <w:highlight w:val="none"/>
              </w:rPr>
              <w:t>业绩要求</w:t>
            </w:r>
          </w:p>
        </w:tc>
      </w:tr>
      <w:tr w14:paraId="2F6E5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22" w:type="dxa"/>
            <w:noWrap w:val="0"/>
            <w:vAlign w:val="center"/>
          </w:tcPr>
          <w:p w14:paraId="313A5211">
            <w:pPr>
              <w:widowControl/>
              <w:shd w:val="clear" w:color="auto" w:fill="auto"/>
              <w:spacing w:line="240" w:lineRule="auto"/>
              <w:jc w:val="left"/>
              <w:rPr>
                <w:rFonts w:hint="eastAsia" w:ascii="宋体" w:hAnsi="宋体"/>
                <w:color w:val="auto"/>
                <w:sz w:val="24"/>
                <w:highlight w:val="none"/>
              </w:rPr>
            </w:pPr>
            <w:r>
              <w:rPr>
                <w:rFonts w:ascii="宋体" w:hAnsi="宋体"/>
                <w:color w:val="auto"/>
                <w:sz w:val="24"/>
                <w:highlight w:val="none"/>
              </w:rPr>
              <w:t>近</w:t>
            </w:r>
            <w:r>
              <w:rPr>
                <w:rFonts w:hint="eastAsia" w:ascii="宋体" w:hAnsi="宋体"/>
                <w:color w:val="auto"/>
                <w:sz w:val="24"/>
                <w:highlight w:val="none"/>
              </w:rPr>
              <w:t>3</w:t>
            </w:r>
            <w:r>
              <w:rPr>
                <w:rFonts w:ascii="宋体" w:hAnsi="宋体"/>
                <w:color w:val="auto"/>
                <w:sz w:val="24"/>
                <w:highlight w:val="none"/>
              </w:rPr>
              <w:t>年内（20</w:t>
            </w:r>
            <w:r>
              <w:rPr>
                <w:rFonts w:hint="eastAsia" w:ascii="宋体" w:hAnsi="宋体"/>
                <w:color w:val="auto"/>
                <w:sz w:val="24"/>
                <w:highlight w:val="none"/>
              </w:rPr>
              <w:t>2</w:t>
            </w:r>
            <w:r>
              <w:rPr>
                <w:rFonts w:hint="eastAsia" w:ascii="宋体" w:hAnsi="宋体"/>
                <w:color w:val="auto"/>
                <w:sz w:val="24"/>
                <w:highlight w:val="none"/>
                <w:lang w:val="en-US" w:eastAsia="zh-CN"/>
              </w:rPr>
              <w:t>3</w:t>
            </w:r>
            <w:r>
              <w:rPr>
                <w:rFonts w:ascii="宋体" w:hAnsi="宋体"/>
                <w:color w:val="auto"/>
                <w:sz w:val="24"/>
                <w:highlight w:val="none"/>
              </w:rPr>
              <w:t>年</w:t>
            </w:r>
            <w:r>
              <w:rPr>
                <w:rFonts w:hint="eastAsia" w:ascii="宋体" w:hAnsi="宋体"/>
                <w:color w:val="auto"/>
                <w:sz w:val="24"/>
                <w:highlight w:val="none"/>
                <w:lang w:val="en-US" w:eastAsia="zh-CN"/>
              </w:rPr>
              <w:t>4月</w:t>
            </w:r>
            <w:r>
              <w:rPr>
                <w:rFonts w:ascii="宋体" w:hAnsi="宋体"/>
                <w:color w:val="auto"/>
                <w:sz w:val="24"/>
                <w:highlight w:val="none"/>
              </w:rPr>
              <w:t>1日至</w:t>
            </w:r>
            <w:r>
              <w:rPr>
                <w:rFonts w:hint="eastAsia" w:ascii="宋体" w:hAnsi="宋体"/>
                <w:color w:val="auto"/>
                <w:sz w:val="24"/>
                <w:highlight w:val="none"/>
                <w:lang w:eastAsia="zh-CN"/>
              </w:rPr>
              <w:t>投标截止时间</w:t>
            </w:r>
            <w:r>
              <w:rPr>
                <w:rFonts w:ascii="宋体" w:hAnsi="宋体"/>
                <w:color w:val="auto"/>
                <w:sz w:val="24"/>
                <w:highlight w:val="none"/>
              </w:rPr>
              <w:t>，以合同签订时间为准）至少承担过1项</w:t>
            </w:r>
            <w:r>
              <w:rPr>
                <w:rFonts w:hint="eastAsia" w:ascii="宋体" w:hAnsi="宋体"/>
                <w:color w:val="auto"/>
                <w:sz w:val="24"/>
                <w:highlight w:val="none"/>
              </w:rPr>
              <w:t>年度合同金额不低于</w:t>
            </w:r>
            <w:r>
              <w:rPr>
                <w:rFonts w:hint="eastAsia" w:ascii="宋体" w:hAnsi="宋体"/>
                <w:color w:val="auto"/>
                <w:sz w:val="24"/>
                <w:highlight w:val="none"/>
                <w:lang w:val="en-US" w:eastAsia="zh-CN"/>
              </w:rPr>
              <w:t>45</w:t>
            </w:r>
            <w:r>
              <w:rPr>
                <w:rFonts w:hint="eastAsia" w:ascii="宋体" w:hAnsi="宋体"/>
                <w:color w:val="auto"/>
                <w:sz w:val="24"/>
                <w:highlight w:val="none"/>
              </w:rPr>
              <w:t>万元</w:t>
            </w:r>
            <w:r>
              <w:rPr>
                <w:rFonts w:hint="eastAsia" w:ascii="宋体" w:hAnsi="宋体"/>
                <w:color w:val="auto"/>
                <w:sz w:val="24"/>
                <w:highlight w:val="none"/>
                <w:lang w:val="en-US" w:eastAsia="zh-CN"/>
              </w:rPr>
              <w:t>的</w:t>
            </w:r>
            <w:r>
              <w:rPr>
                <w:rFonts w:hint="eastAsia" w:ascii="宋体" w:hAnsi="宋体"/>
                <w:color w:val="auto"/>
                <w:sz w:val="24"/>
                <w:highlight w:val="none"/>
              </w:rPr>
              <w:t>物业服务项目。</w:t>
            </w:r>
          </w:p>
        </w:tc>
      </w:tr>
    </w:tbl>
    <w:p w14:paraId="17EA3530">
      <w:pPr>
        <w:shd w:val="clear" w:color="auto" w:fill="auto"/>
        <w:tabs>
          <w:tab w:val="left" w:pos="3300"/>
        </w:tabs>
        <w:spacing w:line="360" w:lineRule="auto"/>
        <w:jc w:val="center"/>
        <w:rPr>
          <w:rFonts w:ascii="宋体" w:hAnsi="宋体"/>
          <w:b/>
          <w:color w:val="auto"/>
          <w:sz w:val="24"/>
          <w:highlight w:val="none"/>
        </w:rPr>
      </w:pPr>
    </w:p>
    <w:p w14:paraId="43B00666">
      <w:pPr>
        <w:shd w:val="clear" w:color="auto" w:fill="auto"/>
        <w:spacing w:line="360" w:lineRule="auto"/>
        <w:jc w:val="center"/>
        <w:rPr>
          <w:rFonts w:ascii="宋体" w:hAnsi="宋体"/>
          <w:b/>
          <w:color w:val="auto"/>
          <w:sz w:val="24"/>
          <w:highlight w:val="none"/>
        </w:rPr>
      </w:pPr>
    </w:p>
    <w:p w14:paraId="4EBDA3F5">
      <w:pPr>
        <w:shd w:val="clear" w:color="auto" w:fill="auto"/>
        <w:spacing w:line="360" w:lineRule="auto"/>
        <w:jc w:val="center"/>
        <w:rPr>
          <w:rFonts w:hint="eastAsia"/>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3</w:t>
      </w:r>
      <w:r>
        <w:rPr>
          <w:rFonts w:hint="eastAsia" w:ascii="宋体" w:hAnsi="宋体"/>
          <w:b/>
          <w:color w:val="auto"/>
          <w:sz w:val="24"/>
          <w:highlight w:val="none"/>
        </w:rPr>
        <w:t xml:space="preserve">  资格审查条件（信誉最低</w:t>
      </w:r>
      <w:r>
        <w:rPr>
          <w:rStyle w:val="13"/>
          <w:rFonts w:hint="eastAsia" w:ascii="宋体" w:hAnsi="宋体" w:eastAsia="宋体"/>
          <w:b/>
          <w:color w:val="auto"/>
          <w:highlight w:val="none"/>
          <w:lang w:val="en-US"/>
        </w:rPr>
        <w:t>要求</w:t>
      </w:r>
      <w:r>
        <w:rPr>
          <w:rFonts w:hint="eastAsia" w:ascii="宋体" w:hAnsi="宋体"/>
          <w:b/>
          <w:color w:val="auto"/>
          <w:sz w:val="24"/>
          <w:highlight w:val="none"/>
        </w:rPr>
        <w:t>）</w:t>
      </w:r>
    </w:p>
    <w:tbl>
      <w:tblPr>
        <w:tblStyle w:val="9"/>
        <w:tblpPr w:leftFromText="180" w:rightFromText="180" w:vertAnchor="text" w:horzAnchor="margin" w:tblpXSpec="center" w:tblpY="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3"/>
      </w:tblGrid>
      <w:tr w14:paraId="3AC1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343" w:type="dxa"/>
            <w:noWrap w:val="0"/>
            <w:vAlign w:val="center"/>
          </w:tcPr>
          <w:p w14:paraId="0DAA37EC">
            <w:pPr>
              <w:shd w:val="clear" w:color="auto" w:fill="auto"/>
              <w:spacing w:line="240" w:lineRule="auto"/>
              <w:jc w:val="center"/>
              <w:rPr>
                <w:rFonts w:ascii="宋体" w:hAnsi="宋体"/>
                <w:color w:val="auto"/>
                <w:sz w:val="24"/>
                <w:highlight w:val="none"/>
              </w:rPr>
            </w:pPr>
            <w:r>
              <w:rPr>
                <w:rFonts w:hint="eastAsia" w:ascii="宋体" w:hAnsi="宋体"/>
                <w:color w:val="auto"/>
                <w:sz w:val="24"/>
                <w:highlight w:val="none"/>
              </w:rPr>
              <w:t>信誉要求</w:t>
            </w:r>
          </w:p>
        </w:tc>
      </w:tr>
      <w:tr w14:paraId="4C04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343" w:type="dxa"/>
            <w:noWrap w:val="0"/>
            <w:vAlign w:val="center"/>
          </w:tcPr>
          <w:p w14:paraId="2DB5BC12">
            <w:pPr>
              <w:shd w:val="clear" w:color="auto" w:fill="auto"/>
              <w:spacing w:line="240" w:lineRule="auto"/>
              <w:jc w:val="left"/>
              <w:rPr>
                <w:rFonts w:ascii="宋体" w:hAnsi="宋体"/>
                <w:color w:val="auto"/>
                <w:sz w:val="24"/>
                <w:highlight w:val="none"/>
              </w:rPr>
            </w:pPr>
            <w:r>
              <w:rPr>
                <w:rFonts w:hint="eastAsia" w:ascii="宋体" w:hAnsi="宋体"/>
                <w:color w:val="auto"/>
                <w:sz w:val="24"/>
                <w:highlight w:val="none"/>
              </w:rPr>
              <w:t>投标人在近1年(202</w:t>
            </w:r>
            <w:r>
              <w:rPr>
                <w:rFonts w:hint="eastAsia" w:ascii="宋体" w:hAnsi="宋体"/>
                <w:color w:val="auto"/>
                <w:sz w:val="24"/>
                <w:highlight w:val="none"/>
                <w:lang w:val="en-US" w:eastAsia="zh-CN"/>
              </w:rPr>
              <w:t>5</w:t>
            </w:r>
            <w:r>
              <w:rPr>
                <w:rFonts w:hint="eastAsia" w:ascii="宋体" w:hAnsi="宋体"/>
                <w:color w:val="auto"/>
                <w:sz w:val="24"/>
                <w:highlight w:val="none"/>
              </w:rPr>
              <w:t>年</w:t>
            </w:r>
            <w:r>
              <w:rPr>
                <w:rFonts w:hint="eastAsia" w:ascii="宋体" w:hAnsi="宋体"/>
                <w:color w:val="auto"/>
                <w:sz w:val="24"/>
                <w:highlight w:val="none"/>
                <w:lang w:val="en-US" w:eastAsia="zh-CN"/>
              </w:rPr>
              <w:t>4月</w:t>
            </w:r>
            <w:r>
              <w:rPr>
                <w:rFonts w:hint="eastAsia" w:ascii="宋体" w:hAnsi="宋体"/>
                <w:color w:val="auto"/>
                <w:sz w:val="24"/>
                <w:highlight w:val="none"/>
              </w:rPr>
              <w:t>1日至</w:t>
            </w:r>
            <w:r>
              <w:rPr>
                <w:rFonts w:hint="eastAsia" w:ascii="宋体" w:hAnsi="宋体"/>
                <w:color w:val="auto"/>
                <w:sz w:val="24"/>
                <w:highlight w:val="none"/>
                <w:lang w:eastAsia="zh-CN"/>
              </w:rPr>
              <w:t>投标截止时间</w:t>
            </w:r>
            <w:r>
              <w:rPr>
                <w:rFonts w:hint="eastAsia" w:ascii="宋体" w:hAnsi="宋体"/>
                <w:color w:val="auto"/>
                <w:sz w:val="24"/>
                <w:highlight w:val="none"/>
              </w:rPr>
              <w:t>)中不曾在物业服务合同中违约而被驱逐或因投标人自身的原因而使物业服务合同被解除。</w:t>
            </w:r>
          </w:p>
        </w:tc>
      </w:tr>
    </w:tbl>
    <w:p w14:paraId="4FD1ACDF">
      <w:pPr>
        <w:shd w:val="clear" w:color="auto" w:fill="auto"/>
        <w:tabs>
          <w:tab w:val="left" w:pos="3300"/>
        </w:tabs>
        <w:spacing w:line="360" w:lineRule="auto"/>
        <w:jc w:val="center"/>
        <w:rPr>
          <w:rFonts w:ascii="宋体" w:hAnsi="宋体"/>
          <w:b/>
          <w:color w:val="auto"/>
          <w:sz w:val="24"/>
          <w:highlight w:val="none"/>
        </w:rPr>
      </w:pPr>
    </w:p>
    <w:p w14:paraId="19D7F014">
      <w:pPr>
        <w:shd w:val="clear" w:color="auto" w:fill="auto"/>
        <w:spacing w:line="360" w:lineRule="auto"/>
        <w:jc w:val="center"/>
        <w:rPr>
          <w:rFonts w:ascii="宋体" w:hAnsi="宋体"/>
          <w:b/>
          <w:color w:val="auto"/>
          <w:sz w:val="24"/>
          <w:highlight w:val="none"/>
        </w:rPr>
      </w:pPr>
    </w:p>
    <w:p w14:paraId="6F50797B">
      <w:pPr>
        <w:shd w:val="clear" w:color="auto" w:fill="auto"/>
        <w:spacing w:line="360" w:lineRule="auto"/>
        <w:jc w:val="center"/>
        <w:rPr>
          <w:rFonts w:ascii="宋体" w:hAnsi="宋体"/>
          <w:b/>
          <w:color w:val="auto"/>
          <w:sz w:val="24"/>
          <w:highlight w:val="none"/>
        </w:rPr>
      </w:pPr>
      <w:r>
        <w:rPr>
          <w:rFonts w:hint="eastAsia" w:ascii="宋体" w:hAnsi="宋体"/>
          <w:b/>
          <w:color w:val="auto"/>
          <w:sz w:val="24"/>
          <w:highlight w:val="none"/>
        </w:rPr>
        <w:t>附录4  资格审查条件（主要人员最低要求）</w:t>
      </w:r>
    </w:p>
    <w:tbl>
      <w:tblPr>
        <w:tblStyle w:val="9"/>
        <w:tblW w:w="94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2"/>
        <w:gridCol w:w="766"/>
        <w:gridCol w:w="6874"/>
      </w:tblGrid>
      <w:tr w14:paraId="62B9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52" w:type="dxa"/>
            <w:noWrap w:val="0"/>
            <w:vAlign w:val="center"/>
          </w:tcPr>
          <w:p w14:paraId="6596726A">
            <w:pPr>
              <w:shd w:val="clear" w:color="auto" w:fill="auto"/>
              <w:spacing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人员</w:t>
            </w:r>
          </w:p>
        </w:tc>
        <w:tc>
          <w:tcPr>
            <w:tcW w:w="766" w:type="dxa"/>
            <w:noWrap w:val="0"/>
            <w:vAlign w:val="center"/>
          </w:tcPr>
          <w:p w14:paraId="1AC30F52">
            <w:pPr>
              <w:shd w:val="clear" w:color="auto" w:fill="auto"/>
              <w:spacing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数量</w:t>
            </w:r>
          </w:p>
        </w:tc>
        <w:tc>
          <w:tcPr>
            <w:tcW w:w="6874" w:type="dxa"/>
            <w:noWrap w:val="0"/>
            <w:vAlign w:val="center"/>
          </w:tcPr>
          <w:p w14:paraId="4F054248">
            <w:pPr>
              <w:shd w:val="clear" w:color="auto" w:fill="auto"/>
              <w:spacing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资格要求</w:t>
            </w:r>
          </w:p>
        </w:tc>
      </w:tr>
      <w:tr w14:paraId="1167A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852" w:type="dxa"/>
            <w:noWrap w:val="0"/>
            <w:vAlign w:val="center"/>
          </w:tcPr>
          <w:p w14:paraId="7FF84644">
            <w:pPr>
              <w:shd w:val="clear" w:color="auto" w:fill="auto"/>
              <w:spacing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项目负责人</w:t>
            </w:r>
          </w:p>
        </w:tc>
        <w:tc>
          <w:tcPr>
            <w:tcW w:w="766" w:type="dxa"/>
            <w:noWrap w:val="0"/>
            <w:vAlign w:val="center"/>
          </w:tcPr>
          <w:p w14:paraId="45A58F2F">
            <w:pPr>
              <w:shd w:val="clear" w:color="auto" w:fill="auto"/>
              <w:spacing w:line="240" w:lineRule="auto"/>
              <w:jc w:val="center"/>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1人</w:t>
            </w:r>
          </w:p>
        </w:tc>
        <w:tc>
          <w:tcPr>
            <w:tcW w:w="6874" w:type="dxa"/>
            <w:noWrap w:val="0"/>
            <w:vAlign w:val="center"/>
          </w:tcPr>
          <w:p w14:paraId="3FD4B4B2">
            <w:pPr>
              <w:shd w:val="clear" w:color="auto" w:fill="auto"/>
              <w:spacing w:line="240" w:lineRule="auto"/>
              <w:jc w:val="left"/>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50周岁及以下，大专及以上学历。近3年内（202</w:t>
            </w:r>
            <w:r>
              <w:rPr>
                <w:rFonts w:hint="eastAsia" w:ascii="宋体" w:hAnsi="宋体" w:eastAsia="宋体" w:cs="宋体"/>
                <w:color w:val="auto"/>
                <w:sz w:val="24"/>
                <w:szCs w:val="32"/>
                <w:highlight w:val="none"/>
                <w:lang w:val="en-US" w:eastAsia="zh-CN"/>
              </w:rPr>
              <w:t>3</w:t>
            </w:r>
            <w:r>
              <w:rPr>
                <w:rFonts w:hint="eastAsia" w:ascii="宋体" w:hAnsi="宋体" w:eastAsia="宋体" w:cs="宋体"/>
                <w:color w:val="auto"/>
                <w:sz w:val="24"/>
                <w:szCs w:val="32"/>
                <w:highlight w:val="none"/>
              </w:rPr>
              <w:t>年</w:t>
            </w:r>
            <w:r>
              <w:rPr>
                <w:rFonts w:hint="eastAsia" w:ascii="宋体" w:hAnsi="宋体" w:eastAsia="宋体" w:cs="宋体"/>
                <w:color w:val="auto"/>
                <w:sz w:val="24"/>
                <w:szCs w:val="32"/>
                <w:highlight w:val="none"/>
                <w:lang w:val="en-US" w:eastAsia="zh-CN"/>
              </w:rPr>
              <w:t>4月</w:t>
            </w:r>
            <w:r>
              <w:rPr>
                <w:rFonts w:hint="eastAsia" w:ascii="宋体" w:hAnsi="宋体" w:eastAsia="宋体" w:cs="宋体"/>
                <w:color w:val="auto"/>
                <w:sz w:val="24"/>
                <w:szCs w:val="32"/>
                <w:highlight w:val="none"/>
              </w:rPr>
              <w:t>1日至</w:t>
            </w:r>
            <w:r>
              <w:rPr>
                <w:rFonts w:hint="eastAsia" w:ascii="宋体" w:hAnsi="宋体" w:eastAsia="宋体" w:cs="宋体"/>
                <w:color w:val="auto"/>
                <w:sz w:val="24"/>
                <w:szCs w:val="32"/>
                <w:highlight w:val="none"/>
                <w:lang w:eastAsia="zh-CN"/>
              </w:rPr>
              <w:t>投标截止时间</w:t>
            </w:r>
            <w:r>
              <w:rPr>
                <w:rFonts w:hint="eastAsia" w:ascii="宋体" w:hAnsi="宋体" w:eastAsia="宋体" w:cs="宋体"/>
                <w:color w:val="auto"/>
                <w:sz w:val="24"/>
                <w:szCs w:val="32"/>
                <w:highlight w:val="none"/>
              </w:rPr>
              <w:t>，以合同签订时间为准）至少</w:t>
            </w:r>
            <w:r>
              <w:rPr>
                <w:rFonts w:hint="eastAsia" w:ascii="宋体" w:hAnsi="宋体" w:eastAsia="宋体" w:cs="宋体"/>
                <w:color w:val="auto"/>
                <w:sz w:val="24"/>
                <w:szCs w:val="32"/>
                <w:highlight w:val="none"/>
                <w:lang w:val="en-US" w:eastAsia="zh-CN"/>
              </w:rPr>
              <w:t>担任</w:t>
            </w:r>
            <w:r>
              <w:rPr>
                <w:rFonts w:hint="eastAsia" w:ascii="宋体" w:hAnsi="宋体" w:eastAsia="宋体" w:cs="宋体"/>
                <w:color w:val="auto"/>
                <w:sz w:val="24"/>
                <w:szCs w:val="32"/>
                <w:highlight w:val="none"/>
              </w:rPr>
              <w:t>过1项年度合同金额不低于</w:t>
            </w:r>
            <w:r>
              <w:rPr>
                <w:rFonts w:hint="eastAsia" w:ascii="宋体" w:hAnsi="宋体" w:eastAsia="宋体" w:cs="宋体"/>
                <w:color w:val="auto"/>
                <w:sz w:val="24"/>
                <w:szCs w:val="32"/>
                <w:highlight w:val="none"/>
                <w:lang w:val="en-US" w:eastAsia="zh-CN"/>
              </w:rPr>
              <w:t>45</w:t>
            </w:r>
            <w:r>
              <w:rPr>
                <w:rFonts w:hint="eastAsia" w:ascii="宋体" w:hAnsi="宋体" w:eastAsia="宋体" w:cs="宋体"/>
                <w:color w:val="auto"/>
                <w:sz w:val="24"/>
                <w:szCs w:val="32"/>
                <w:highlight w:val="none"/>
              </w:rPr>
              <w:t>万元</w:t>
            </w:r>
            <w:r>
              <w:rPr>
                <w:rFonts w:hint="eastAsia" w:ascii="宋体" w:hAnsi="宋体" w:eastAsia="宋体" w:cs="宋体"/>
                <w:color w:val="auto"/>
                <w:sz w:val="24"/>
                <w:szCs w:val="32"/>
                <w:highlight w:val="none"/>
                <w:lang w:val="en-US" w:eastAsia="zh-CN"/>
              </w:rPr>
              <w:t>的物业服务项目</w:t>
            </w:r>
            <w:r>
              <w:rPr>
                <w:rFonts w:hint="eastAsia" w:ascii="宋体" w:hAnsi="宋体" w:eastAsia="宋体" w:cs="宋体"/>
                <w:color w:val="auto"/>
                <w:sz w:val="24"/>
                <w:szCs w:val="32"/>
                <w:highlight w:val="none"/>
              </w:rPr>
              <w:t>的项目负责人</w:t>
            </w:r>
            <w:r>
              <w:rPr>
                <w:rFonts w:hint="eastAsia" w:ascii="宋体" w:hAnsi="宋体" w:eastAsia="宋体" w:cs="宋体"/>
                <w:color w:val="auto"/>
                <w:sz w:val="24"/>
                <w:szCs w:val="32"/>
                <w:highlight w:val="none"/>
                <w:lang w:eastAsia="zh-CN"/>
              </w:rPr>
              <w:t>。</w:t>
            </w:r>
          </w:p>
        </w:tc>
      </w:tr>
    </w:tbl>
    <w:p w14:paraId="3B78B2C7">
      <w:pPr>
        <w:shd w:val="clear" w:color="auto" w:fill="auto"/>
        <w:rPr>
          <w:rFonts w:ascii="宋体" w:hAnsi="宋体"/>
          <w:b/>
          <w:bCs/>
          <w:color w:val="auto"/>
          <w:sz w:val="24"/>
          <w:highlight w:val="none"/>
        </w:rPr>
      </w:pPr>
    </w:p>
    <w:p w14:paraId="70FA4796">
      <w:pPr>
        <w:shd w:val="clear" w:color="auto" w:fill="auto"/>
        <w:rPr>
          <w:rFonts w:ascii="宋体" w:hAnsi="宋体"/>
          <w:color w:val="auto"/>
          <w:sz w:val="28"/>
          <w:szCs w:val="28"/>
          <w:highlight w:val="none"/>
        </w:rPr>
      </w:pPr>
      <w:r>
        <w:rPr>
          <w:rFonts w:ascii="宋体" w:hAnsi="宋体"/>
          <w:bCs/>
          <w:color w:val="auto"/>
          <w:sz w:val="28"/>
          <w:szCs w:val="28"/>
          <w:highlight w:val="none"/>
        </w:rPr>
        <w:br w:type="page"/>
      </w:r>
      <w:bookmarkStart w:id="5" w:name="_Toc155970156"/>
      <w:bookmarkStart w:id="6" w:name="_Toc155970200"/>
      <w:r>
        <w:rPr>
          <w:rFonts w:hint="eastAsia" w:ascii="宋体" w:hAnsi="宋体"/>
          <w:b/>
          <w:bCs/>
          <w:color w:val="auto"/>
          <w:sz w:val="28"/>
          <w:szCs w:val="36"/>
          <w:highlight w:val="none"/>
        </w:rPr>
        <w:t>附件2 评标办法</w:t>
      </w:r>
      <w:bookmarkEnd w:id="5"/>
      <w:bookmarkEnd w:id="6"/>
    </w:p>
    <w:p w14:paraId="6C02F0D3">
      <w:pPr>
        <w:shd w:val="clear" w:color="auto" w:fill="auto"/>
        <w:snapToGrid w:val="0"/>
        <w:spacing w:line="360" w:lineRule="auto"/>
        <w:jc w:val="center"/>
        <w:rPr>
          <w:rFonts w:ascii="宋体" w:hAnsi="宋体"/>
          <w:b/>
          <w:color w:val="auto"/>
          <w:sz w:val="28"/>
          <w:szCs w:val="28"/>
          <w:highlight w:val="none"/>
        </w:rPr>
      </w:pPr>
      <w:r>
        <w:rPr>
          <w:rFonts w:hint="eastAsia" w:ascii="宋体" w:hAnsi="宋体"/>
          <w:b/>
          <w:color w:val="auto"/>
          <w:sz w:val="28"/>
          <w:szCs w:val="28"/>
          <w:highlight w:val="none"/>
        </w:rPr>
        <w:t>评标办法（综合评估法）</w:t>
      </w:r>
    </w:p>
    <w:p w14:paraId="4CF2DF9C">
      <w:pPr>
        <w:shd w:val="clear" w:color="auto" w:fill="auto"/>
        <w:autoSpaceDE w:val="0"/>
        <w:autoSpaceDN w:val="0"/>
        <w:adjustRightInd w:val="0"/>
        <w:snapToGrid w:val="0"/>
        <w:spacing w:line="360" w:lineRule="auto"/>
        <w:ind w:right="113"/>
        <w:jc w:val="center"/>
        <w:rPr>
          <w:rFonts w:ascii="宋体" w:hAnsi="宋体"/>
          <w:b/>
          <w:bCs/>
          <w:color w:val="auto"/>
          <w:sz w:val="28"/>
          <w:szCs w:val="36"/>
          <w:highlight w:val="none"/>
        </w:rPr>
      </w:pPr>
      <w:r>
        <w:rPr>
          <w:rFonts w:hint="eastAsia" w:ascii="宋体" w:hAnsi="宋体"/>
          <w:b/>
          <w:bCs/>
          <w:color w:val="auto"/>
          <w:sz w:val="28"/>
          <w:szCs w:val="36"/>
          <w:highlight w:val="none"/>
        </w:rPr>
        <w:t>评标办法前附表</w:t>
      </w: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077"/>
        <w:gridCol w:w="1589"/>
        <w:gridCol w:w="6405"/>
      </w:tblGrid>
      <w:tr w14:paraId="0124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66" w:type="dxa"/>
            <w:gridSpan w:val="2"/>
            <w:noWrap w:val="0"/>
            <w:vAlign w:val="center"/>
          </w:tcPr>
          <w:p w14:paraId="1ABCC237">
            <w:pPr>
              <w:shd w:val="clear" w:color="auto" w:fill="auto"/>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条款号</w:t>
            </w:r>
          </w:p>
        </w:tc>
        <w:tc>
          <w:tcPr>
            <w:tcW w:w="6405" w:type="dxa"/>
            <w:noWrap w:val="0"/>
            <w:vAlign w:val="center"/>
          </w:tcPr>
          <w:p w14:paraId="25E04C06">
            <w:pPr>
              <w:shd w:val="clear" w:color="auto" w:fill="auto"/>
              <w:adjustRightInd w:val="0"/>
              <w:snapToGrid w:val="0"/>
              <w:jc w:val="center"/>
              <w:rPr>
                <w:rFonts w:hint="eastAsia" w:ascii="宋体" w:hAnsi="宋体" w:cs="宋体"/>
                <w:b/>
                <w:color w:val="auto"/>
                <w:sz w:val="24"/>
                <w:highlight w:val="none"/>
              </w:rPr>
            </w:pPr>
            <w:r>
              <w:rPr>
                <w:rFonts w:hint="eastAsia" w:ascii="宋体" w:hAnsi="宋体" w:cs="宋体"/>
                <w:b/>
                <w:color w:val="auto"/>
                <w:sz w:val="24"/>
                <w:highlight w:val="none"/>
              </w:rPr>
              <w:t>评审因素与评审标准</w:t>
            </w:r>
          </w:p>
        </w:tc>
      </w:tr>
      <w:tr w14:paraId="3E827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734" w:hRule="atLeast"/>
          <w:jc w:val="center"/>
        </w:trPr>
        <w:tc>
          <w:tcPr>
            <w:tcW w:w="1077" w:type="dxa"/>
            <w:noWrap w:val="0"/>
            <w:vAlign w:val="center"/>
          </w:tcPr>
          <w:p w14:paraId="0ADE8C57">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589" w:type="dxa"/>
            <w:noWrap w:val="0"/>
            <w:vAlign w:val="center"/>
          </w:tcPr>
          <w:p w14:paraId="0F526213">
            <w:pPr>
              <w:shd w:val="clear" w:color="auto" w:fill="auto"/>
              <w:snapToGrid w:val="0"/>
              <w:jc w:val="center"/>
              <w:rPr>
                <w:rFonts w:hint="eastAsia" w:ascii="宋体" w:hAnsi="宋体" w:cs="宋体"/>
                <w:b/>
                <w:color w:val="auto"/>
                <w:sz w:val="24"/>
                <w:highlight w:val="none"/>
              </w:rPr>
            </w:pPr>
            <w:r>
              <w:rPr>
                <w:rFonts w:hint="eastAsia" w:ascii="宋体" w:hAnsi="宋体" w:eastAsia="宋体" w:cs="宋体"/>
                <w:color w:val="auto"/>
                <w:sz w:val="24"/>
                <w:szCs w:val="24"/>
                <w:highlight w:val="none"/>
              </w:rPr>
              <w:t>评标办法</w:t>
            </w:r>
          </w:p>
        </w:tc>
        <w:tc>
          <w:tcPr>
            <w:tcW w:w="6405" w:type="dxa"/>
            <w:noWrap w:val="0"/>
            <w:vAlign w:val="center"/>
          </w:tcPr>
          <w:p w14:paraId="778EBFA2">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本条修改为：</w:t>
            </w:r>
          </w:p>
          <w:p w14:paraId="0EB85518">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本次评标采用综合评估法。评标委员会对满足招标文件实质性要求的投标文件，按照本章第2.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款规定的评分标准进行打分，并按综合得分由高到低顺序推荐1-3名中标候选人。当综合得分相等时按以下顺序推荐中标候选人：</w:t>
            </w:r>
          </w:p>
          <w:p w14:paraId="7F4FE949">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（1）以评标价低的优先；</w:t>
            </w:r>
          </w:p>
          <w:p w14:paraId="02CEE000">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（2）以</w:t>
            </w:r>
            <w:r>
              <w:rPr>
                <w:rFonts w:hint="eastAsia" w:ascii="宋体" w:hAnsi="宋体" w:eastAsia="宋体" w:cs="宋体"/>
                <w:color w:val="auto"/>
                <w:sz w:val="24"/>
                <w:szCs w:val="24"/>
                <w:highlight w:val="none"/>
                <w:lang w:val="en-US" w:eastAsia="zh-CN"/>
              </w:rPr>
              <w:t>服务方案</w:t>
            </w:r>
            <w:r>
              <w:rPr>
                <w:rFonts w:hint="eastAsia" w:ascii="宋体" w:hAnsi="宋体" w:eastAsia="宋体" w:cs="宋体"/>
                <w:color w:val="auto"/>
                <w:sz w:val="24"/>
                <w:szCs w:val="24"/>
                <w:highlight w:val="none"/>
                <w:lang w:eastAsia="zh-CN"/>
              </w:rPr>
              <w:t>得分高的优先；</w:t>
            </w:r>
          </w:p>
          <w:p w14:paraId="6B2B1E3E">
            <w:pPr>
              <w:shd w:val="clear" w:color="auto" w:fill="auto"/>
              <w:rPr>
                <w:rFonts w:hint="eastAsia" w:cs="宋体"/>
                <w:color w:val="auto"/>
                <w:highlight w:val="none"/>
              </w:rPr>
            </w:pPr>
            <w:r>
              <w:rPr>
                <w:rFonts w:hint="eastAsia" w:ascii="宋体" w:hAnsi="宋体" w:eastAsia="宋体" w:cs="宋体"/>
                <w:color w:val="auto"/>
                <w:sz w:val="24"/>
                <w:szCs w:val="24"/>
                <w:highlight w:val="none"/>
                <w:lang w:eastAsia="zh-CN"/>
              </w:rPr>
              <w:t>（3）以满足资格审查条件附录2业绩最低要求的业绩累计金额</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lang w:eastAsia="zh-CN"/>
              </w:rPr>
              <w:t>的优先。</w:t>
            </w:r>
          </w:p>
        </w:tc>
      </w:tr>
      <w:tr w14:paraId="070A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077" w:type="dxa"/>
            <w:noWrap w:val="0"/>
            <w:vAlign w:val="center"/>
          </w:tcPr>
          <w:p w14:paraId="30E30CD8">
            <w:pPr>
              <w:shd w:val="clear" w:color="auto" w:fill="auto"/>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2.1.1</w:t>
            </w:r>
          </w:p>
          <w:p w14:paraId="1C9FD282">
            <w:pPr>
              <w:shd w:val="clear" w:color="auto" w:fill="auto"/>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2.1.3</w:t>
            </w:r>
          </w:p>
        </w:tc>
        <w:tc>
          <w:tcPr>
            <w:tcW w:w="1589" w:type="dxa"/>
            <w:noWrap w:val="0"/>
            <w:vAlign w:val="center"/>
          </w:tcPr>
          <w:p w14:paraId="2915B5DF">
            <w:pPr>
              <w:shd w:val="clear" w:color="auto" w:fill="auto"/>
              <w:snapToGrid w:val="0"/>
              <w:jc w:val="center"/>
              <w:rPr>
                <w:rFonts w:hint="eastAsia" w:ascii="宋体" w:hAnsi="宋体" w:cs="宋体"/>
                <w:color w:val="auto"/>
                <w:sz w:val="24"/>
                <w:highlight w:val="none"/>
              </w:rPr>
            </w:pPr>
            <w:r>
              <w:rPr>
                <w:rFonts w:hint="eastAsia" w:ascii="宋体" w:hAnsi="宋体" w:eastAsia="宋体" w:cs="宋体"/>
                <w:color w:val="auto"/>
                <w:sz w:val="24"/>
                <w:szCs w:val="24"/>
                <w:highlight w:val="none"/>
                <w:lang w:eastAsia="zh-CN"/>
              </w:rPr>
              <w:t>形式评审与响应性评审标准</w:t>
            </w:r>
          </w:p>
        </w:tc>
        <w:tc>
          <w:tcPr>
            <w:tcW w:w="6405" w:type="dxa"/>
            <w:noWrap w:val="0"/>
            <w:vAlign w:val="center"/>
          </w:tcPr>
          <w:p w14:paraId="7800EF68">
            <w:pPr>
              <w:pStyle w:val="2"/>
              <w:shd w:val="clear" w:color="auto" w:fill="auto"/>
              <w:rPr>
                <w:rFonts w:hint="eastAsia"/>
                <w:color w:val="auto"/>
                <w:highlight w:val="none"/>
                <w:lang w:eastAsia="zh-CN"/>
              </w:rPr>
            </w:pPr>
            <w:r>
              <w:rPr>
                <w:rFonts w:hint="eastAsia"/>
                <w:color w:val="auto"/>
                <w:highlight w:val="none"/>
                <w:lang w:eastAsia="zh-CN"/>
              </w:rPr>
              <w:t>（1）投标文件按照招标文件规定的格式、内容填写，字迹清晰可辨：</w:t>
            </w:r>
          </w:p>
          <w:p w14:paraId="1FF6F398">
            <w:pPr>
              <w:pStyle w:val="2"/>
              <w:shd w:val="clear" w:color="auto" w:fill="auto"/>
              <w:rPr>
                <w:rFonts w:hint="eastAsia"/>
                <w:color w:val="auto"/>
                <w:highlight w:val="none"/>
                <w:lang w:eastAsia="zh-CN"/>
              </w:rPr>
            </w:pPr>
            <w:r>
              <w:rPr>
                <w:rFonts w:hint="eastAsia"/>
                <w:color w:val="auto"/>
                <w:highlight w:val="none"/>
                <w:lang w:eastAsia="zh-CN"/>
              </w:rPr>
              <w:t>a.投标函按照招标文件规定填报了招标人名称、项目名称、补遗书编号（如有）、投标报价（包括大写金额和小写金额）、</w:t>
            </w:r>
            <w:r>
              <w:rPr>
                <w:rFonts w:hint="eastAsia"/>
                <w:color w:val="auto"/>
                <w:highlight w:val="none"/>
                <w:lang w:val="en-US" w:eastAsia="zh-CN"/>
              </w:rPr>
              <w:t>项目负责人、服务期限</w:t>
            </w:r>
            <w:r>
              <w:rPr>
                <w:rFonts w:hint="eastAsia"/>
                <w:color w:val="auto"/>
                <w:highlight w:val="none"/>
                <w:lang w:eastAsia="zh-CN"/>
              </w:rPr>
              <w:t>、</w:t>
            </w:r>
            <w:r>
              <w:rPr>
                <w:rFonts w:hint="eastAsia"/>
                <w:color w:val="auto"/>
                <w:highlight w:val="none"/>
                <w:lang w:val="en-US" w:eastAsia="zh-CN"/>
              </w:rPr>
              <w:t>服务</w:t>
            </w:r>
            <w:r>
              <w:rPr>
                <w:rFonts w:hint="eastAsia"/>
                <w:color w:val="auto"/>
                <w:highlight w:val="none"/>
                <w:lang w:eastAsia="zh-CN"/>
              </w:rPr>
              <w:t>标准、</w:t>
            </w:r>
            <w:r>
              <w:rPr>
                <w:rFonts w:hint="eastAsia"/>
                <w:color w:val="auto"/>
                <w:highlight w:val="none"/>
                <w:lang w:val="en-US" w:eastAsia="zh-CN"/>
              </w:rPr>
              <w:t>安全目标</w:t>
            </w:r>
            <w:r>
              <w:rPr>
                <w:rFonts w:hint="eastAsia"/>
                <w:color w:val="auto"/>
                <w:highlight w:val="none"/>
                <w:lang w:eastAsia="zh-CN"/>
              </w:rPr>
              <w:t>；</w:t>
            </w:r>
          </w:p>
          <w:p w14:paraId="3AD4A5FA">
            <w:pPr>
              <w:pStyle w:val="2"/>
              <w:shd w:val="clear" w:color="auto" w:fill="auto"/>
              <w:rPr>
                <w:rFonts w:hint="eastAsia"/>
                <w:color w:val="auto"/>
                <w:highlight w:val="none"/>
                <w:lang w:eastAsia="zh-CN"/>
              </w:rPr>
            </w:pPr>
            <w:r>
              <w:rPr>
                <w:rFonts w:hint="eastAsia"/>
                <w:color w:val="auto"/>
                <w:highlight w:val="none"/>
                <w:lang w:eastAsia="zh-CN"/>
              </w:rPr>
              <w:t>b.投标文件组成齐全完整，内容均按规定填写；</w:t>
            </w:r>
          </w:p>
          <w:p w14:paraId="2FC83819">
            <w:pPr>
              <w:pStyle w:val="2"/>
              <w:shd w:val="clear" w:color="auto" w:fill="auto"/>
              <w:rPr>
                <w:rFonts w:hint="eastAsia"/>
                <w:color w:val="auto"/>
                <w:highlight w:val="none"/>
                <w:lang w:eastAsia="zh-CN"/>
              </w:rPr>
            </w:pPr>
            <w:r>
              <w:rPr>
                <w:rFonts w:hint="eastAsia"/>
                <w:color w:val="auto"/>
                <w:highlight w:val="none"/>
                <w:lang w:eastAsia="zh-CN"/>
              </w:rPr>
              <w:t>（2）投标文件上法定代表人或其委托代理人的签字、投标人的单位章盖章齐全，符合招标文件规定；</w:t>
            </w:r>
          </w:p>
          <w:p w14:paraId="4C1D5E28">
            <w:pPr>
              <w:pStyle w:val="2"/>
              <w:shd w:val="clear" w:color="auto" w:fill="auto"/>
              <w:rPr>
                <w:rFonts w:hint="eastAsia"/>
                <w:color w:val="auto"/>
                <w:highlight w:val="none"/>
                <w:lang w:eastAsia="zh-CN"/>
              </w:rPr>
            </w:pPr>
            <w:r>
              <w:rPr>
                <w:rFonts w:hint="eastAsia"/>
                <w:color w:val="auto"/>
                <w:highlight w:val="none"/>
                <w:lang w:eastAsia="zh-CN"/>
              </w:rPr>
              <w:t>（3）投标人按照招标文件的规定提供了投标保证金，满足投标人须知</w:t>
            </w:r>
            <w:r>
              <w:rPr>
                <w:rFonts w:hint="eastAsia"/>
                <w:color w:val="auto"/>
                <w:highlight w:val="none"/>
                <w:lang w:val="en-US" w:eastAsia="zh-CN"/>
              </w:rPr>
              <w:t>第</w:t>
            </w:r>
            <w:r>
              <w:rPr>
                <w:rFonts w:hint="eastAsia"/>
                <w:color w:val="auto"/>
                <w:highlight w:val="none"/>
                <w:lang w:eastAsia="zh-CN"/>
              </w:rPr>
              <w:t>3.4.1</w:t>
            </w:r>
            <w:r>
              <w:rPr>
                <w:rFonts w:hint="eastAsia"/>
                <w:color w:val="auto"/>
                <w:highlight w:val="none"/>
                <w:lang w:val="en-US" w:eastAsia="zh-CN"/>
              </w:rPr>
              <w:t>项</w:t>
            </w:r>
            <w:r>
              <w:rPr>
                <w:rFonts w:hint="eastAsia"/>
                <w:color w:val="auto"/>
                <w:highlight w:val="none"/>
                <w:lang w:eastAsia="zh-CN"/>
              </w:rPr>
              <w:t>规定；</w:t>
            </w:r>
          </w:p>
          <w:p w14:paraId="0403AA61">
            <w:pPr>
              <w:pStyle w:val="2"/>
              <w:shd w:val="clear" w:color="auto" w:fill="auto"/>
              <w:rPr>
                <w:rFonts w:hint="eastAsia"/>
                <w:color w:val="auto"/>
                <w:highlight w:val="none"/>
                <w:lang w:eastAsia="zh-CN"/>
              </w:rPr>
            </w:pPr>
            <w:r>
              <w:rPr>
                <w:rFonts w:hint="eastAsia"/>
                <w:color w:val="auto"/>
                <w:highlight w:val="none"/>
                <w:lang w:eastAsia="zh-CN"/>
              </w:rPr>
              <w:t>（4）投标人法定代表人授权委托代理人签署投标文件的，须提交授权委托书，授权委托书的签字盖章符合招标文件规定。</w:t>
            </w:r>
          </w:p>
          <w:p w14:paraId="6DEB30B8">
            <w:pPr>
              <w:pStyle w:val="2"/>
              <w:shd w:val="clear" w:color="auto" w:fill="auto"/>
              <w:rPr>
                <w:rFonts w:hint="eastAsia"/>
                <w:color w:val="auto"/>
                <w:highlight w:val="none"/>
                <w:lang w:eastAsia="zh-CN"/>
              </w:rPr>
            </w:pPr>
            <w:r>
              <w:rPr>
                <w:rFonts w:hint="eastAsia"/>
                <w:color w:val="auto"/>
                <w:highlight w:val="none"/>
                <w:lang w:eastAsia="zh-CN"/>
              </w:rPr>
              <w:t>（5）投标人法定代表人亲自签署投标文件的，提供了法定代表人身份证明,法定代表人身份证明的签字盖章符合招标文件规定。</w:t>
            </w:r>
          </w:p>
          <w:p w14:paraId="60FD29B1">
            <w:pPr>
              <w:pStyle w:val="2"/>
              <w:shd w:val="clear" w:color="auto" w:fill="auto"/>
              <w:rPr>
                <w:rFonts w:hint="eastAsia"/>
                <w:color w:val="auto"/>
                <w:highlight w:val="none"/>
                <w:lang w:eastAsia="zh-CN"/>
              </w:rPr>
            </w:pPr>
            <w:r>
              <w:rPr>
                <w:rFonts w:hint="eastAsia"/>
                <w:color w:val="auto"/>
                <w:highlight w:val="none"/>
                <w:lang w:eastAsia="zh-CN"/>
              </w:rPr>
              <w:t>（6）投标人未以联合体形式投标。</w:t>
            </w:r>
          </w:p>
          <w:p w14:paraId="646E0754">
            <w:pPr>
              <w:pStyle w:val="2"/>
              <w:shd w:val="clear" w:color="auto" w:fill="auto"/>
              <w:rPr>
                <w:rFonts w:hint="eastAsia"/>
                <w:color w:val="auto"/>
                <w:highlight w:val="none"/>
                <w:lang w:eastAsia="zh-CN"/>
              </w:rPr>
            </w:pPr>
            <w:r>
              <w:rPr>
                <w:rFonts w:hint="eastAsia"/>
                <w:color w:val="auto"/>
                <w:highlight w:val="none"/>
                <w:lang w:eastAsia="zh-CN"/>
              </w:rPr>
              <w:t>（7）投标人未对本项目进行分包。</w:t>
            </w:r>
          </w:p>
          <w:p w14:paraId="2DB322A2">
            <w:pPr>
              <w:pStyle w:val="2"/>
              <w:shd w:val="clear" w:color="auto" w:fil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8</w:t>
            </w:r>
            <w:r>
              <w:rPr>
                <w:rFonts w:hint="eastAsia"/>
                <w:color w:val="auto"/>
                <w:highlight w:val="none"/>
                <w:lang w:eastAsia="zh-CN"/>
              </w:rPr>
              <w:t>）投标人未提交两个</w:t>
            </w:r>
            <w:r>
              <w:rPr>
                <w:rFonts w:hint="eastAsia"/>
                <w:color w:val="auto"/>
                <w:highlight w:val="none"/>
                <w:lang w:val="en-US" w:eastAsia="zh-CN"/>
              </w:rPr>
              <w:t>及</w:t>
            </w:r>
            <w:r>
              <w:rPr>
                <w:rFonts w:hint="eastAsia"/>
                <w:color w:val="auto"/>
                <w:highlight w:val="none"/>
                <w:lang w:eastAsia="zh-CN"/>
              </w:rPr>
              <w:t>以上不同的投标文件。</w:t>
            </w:r>
          </w:p>
          <w:p w14:paraId="5F6C3FD4">
            <w:pPr>
              <w:pStyle w:val="2"/>
              <w:shd w:val="clear" w:color="auto" w:fill="auto"/>
              <w:rPr>
                <w:rFonts w:hint="eastAsia"/>
                <w:color w:val="auto"/>
                <w:highlight w:val="none"/>
                <w:lang w:eastAsia="zh-CN"/>
              </w:rPr>
            </w:pPr>
            <w:r>
              <w:rPr>
                <w:rFonts w:hint="eastAsia"/>
                <w:color w:val="auto"/>
                <w:highlight w:val="none"/>
                <w:lang w:eastAsia="zh-CN"/>
              </w:rPr>
              <w:t>（9）投标文件载明的招标项目</w:t>
            </w:r>
            <w:r>
              <w:rPr>
                <w:rFonts w:hint="eastAsia"/>
                <w:color w:val="auto"/>
                <w:highlight w:val="none"/>
                <w:lang w:val="en-US" w:eastAsia="zh-CN"/>
              </w:rPr>
              <w:t>服务期限</w:t>
            </w:r>
            <w:r>
              <w:rPr>
                <w:rFonts w:hint="eastAsia"/>
                <w:color w:val="auto"/>
                <w:highlight w:val="none"/>
                <w:lang w:eastAsia="zh-CN"/>
              </w:rPr>
              <w:t>未超过招标文件规定的时限。</w:t>
            </w:r>
          </w:p>
          <w:p w14:paraId="49E5F7C0">
            <w:pPr>
              <w:pStyle w:val="2"/>
              <w:shd w:val="clear" w:color="auto" w:fill="auto"/>
              <w:rPr>
                <w:rFonts w:hint="eastAsia"/>
                <w:color w:val="auto"/>
                <w:highlight w:val="none"/>
                <w:lang w:eastAsia="zh-CN"/>
              </w:rPr>
            </w:pPr>
            <w:r>
              <w:rPr>
                <w:rFonts w:hint="eastAsia"/>
                <w:color w:val="auto"/>
                <w:highlight w:val="none"/>
                <w:lang w:eastAsia="zh-CN"/>
              </w:rPr>
              <w:t>（10）投标文件对招标文件的实质性要求和条件作出响应。</w:t>
            </w:r>
          </w:p>
          <w:p w14:paraId="7073180F">
            <w:pPr>
              <w:pStyle w:val="2"/>
              <w:shd w:val="clear" w:color="auto" w:fill="auto"/>
              <w:rPr>
                <w:rFonts w:hint="eastAsia"/>
                <w:color w:val="auto"/>
                <w:highlight w:val="none"/>
                <w:lang w:eastAsia="zh-CN"/>
              </w:rPr>
            </w:pPr>
            <w:r>
              <w:rPr>
                <w:rFonts w:hint="eastAsia"/>
                <w:color w:val="auto"/>
                <w:highlight w:val="none"/>
                <w:lang w:eastAsia="zh-CN"/>
              </w:rPr>
              <w:t>（11）权利义务符合招标文件规定：</w:t>
            </w:r>
          </w:p>
          <w:p w14:paraId="44F8D361">
            <w:pPr>
              <w:pStyle w:val="2"/>
              <w:shd w:val="clear" w:color="auto" w:fill="auto"/>
              <w:rPr>
                <w:rFonts w:hint="eastAsia"/>
                <w:color w:val="auto"/>
                <w:highlight w:val="none"/>
                <w:lang w:eastAsia="zh-CN"/>
              </w:rPr>
            </w:pPr>
            <w:r>
              <w:rPr>
                <w:rFonts w:hint="eastAsia"/>
                <w:color w:val="auto"/>
                <w:highlight w:val="none"/>
                <w:lang w:eastAsia="zh-CN"/>
              </w:rPr>
              <w:t>a．投标人应接受招标文件规定的风险划分原则，未提出新的风险划分办法；</w:t>
            </w:r>
          </w:p>
          <w:p w14:paraId="1FC10DD0">
            <w:pPr>
              <w:pStyle w:val="2"/>
              <w:shd w:val="clear" w:color="auto" w:fill="auto"/>
              <w:rPr>
                <w:rFonts w:hint="eastAsia"/>
                <w:color w:val="auto"/>
                <w:highlight w:val="none"/>
                <w:lang w:eastAsia="zh-CN"/>
              </w:rPr>
            </w:pPr>
            <w:r>
              <w:rPr>
                <w:rFonts w:hint="eastAsia"/>
                <w:color w:val="auto"/>
                <w:highlight w:val="none"/>
                <w:lang w:eastAsia="zh-CN"/>
              </w:rPr>
              <w:t>b．投标人未增加发包人的责任范围，或减少投标人义务；</w:t>
            </w:r>
          </w:p>
          <w:p w14:paraId="653CF1E3">
            <w:pPr>
              <w:pStyle w:val="2"/>
              <w:shd w:val="clear" w:color="auto" w:fill="auto"/>
              <w:rPr>
                <w:rFonts w:hint="eastAsia"/>
                <w:color w:val="auto"/>
                <w:highlight w:val="none"/>
                <w:lang w:eastAsia="zh-CN"/>
              </w:rPr>
            </w:pPr>
            <w:r>
              <w:rPr>
                <w:rFonts w:hint="eastAsia"/>
                <w:color w:val="auto"/>
                <w:highlight w:val="none"/>
                <w:lang w:eastAsia="zh-CN"/>
              </w:rPr>
              <w:t>c．投标人未提出不同的验收、计量、支付办法；</w:t>
            </w:r>
          </w:p>
          <w:p w14:paraId="707A1914">
            <w:pPr>
              <w:pStyle w:val="2"/>
              <w:shd w:val="clear" w:color="auto" w:fill="auto"/>
              <w:rPr>
                <w:rFonts w:hint="eastAsia"/>
                <w:color w:val="auto"/>
                <w:highlight w:val="none"/>
                <w:lang w:eastAsia="zh-CN"/>
              </w:rPr>
            </w:pPr>
            <w:r>
              <w:rPr>
                <w:rFonts w:hint="eastAsia"/>
                <w:color w:val="auto"/>
                <w:highlight w:val="none"/>
                <w:lang w:eastAsia="zh-CN"/>
              </w:rPr>
              <w:t>d．投标人对合同纠纷、事故处理办法未提出异议；</w:t>
            </w:r>
          </w:p>
          <w:p w14:paraId="51263CFF">
            <w:pPr>
              <w:pStyle w:val="2"/>
              <w:shd w:val="clear" w:color="auto" w:fill="auto"/>
              <w:rPr>
                <w:rFonts w:hint="eastAsia"/>
                <w:color w:val="auto"/>
                <w:highlight w:val="none"/>
                <w:lang w:eastAsia="zh-CN"/>
              </w:rPr>
            </w:pPr>
            <w:r>
              <w:rPr>
                <w:rFonts w:hint="eastAsia"/>
                <w:color w:val="auto"/>
                <w:highlight w:val="none"/>
                <w:lang w:eastAsia="zh-CN"/>
              </w:rPr>
              <w:t>e．投标人在投标活动中无欺诈行为；</w:t>
            </w:r>
          </w:p>
          <w:p w14:paraId="3E557087">
            <w:pPr>
              <w:pStyle w:val="2"/>
              <w:shd w:val="clear" w:color="auto" w:fill="auto"/>
              <w:rPr>
                <w:rFonts w:hint="eastAsia"/>
                <w:color w:val="auto"/>
                <w:highlight w:val="none"/>
                <w:lang w:eastAsia="zh-CN"/>
              </w:rPr>
            </w:pPr>
            <w:r>
              <w:rPr>
                <w:rFonts w:hint="eastAsia"/>
                <w:color w:val="auto"/>
                <w:highlight w:val="none"/>
                <w:lang w:eastAsia="zh-CN"/>
              </w:rPr>
              <w:t>f．投标人未对合同条款有重要保留。</w:t>
            </w:r>
          </w:p>
          <w:p w14:paraId="3655753C">
            <w:pPr>
              <w:pStyle w:val="2"/>
              <w:shd w:val="clear" w:color="auto" w:fil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12</w:t>
            </w:r>
            <w:r>
              <w:rPr>
                <w:rFonts w:hint="eastAsia"/>
                <w:color w:val="auto"/>
                <w:highlight w:val="none"/>
                <w:lang w:eastAsia="zh-CN"/>
              </w:rPr>
              <w:t>）投标报价未超过招标文件设定的</w:t>
            </w:r>
            <w:r>
              <w:rPr>
                <w:rFonts w:hint="eastAsia"/>
                <w:color w:val="auto"/>
                <w:highlight w:val="none"/>
                <w:lang w:val="en-US" w:eastAsia="zh-CN"/>
              </w:rPr>
              <w:t>最高投标限价</w:t>
            </w:r>
            <w:r>
              <w:rPr>
                <w:rFonts w:hint="eastAsia"/>
                <w:color w:val="auto"/>
                <w:highlight w:val="none"/>
                <w:lang w:eastAsia="zh-CN"/>
              </w:rPr>
              <w:t>。</w:t>
            </w:r>
          </w:p>
          <w:p w14:paraId="4903BE92">
            <w:pPr>
              <w:pStyle w:val="2"/>
              <w:shd w:val="clear" w:color="auto" w:fill="auto"/>
              <w:rPr>
                <w:rFonts w:hint="eastAsia" w:ascii="宋体" w:hAnsi="宋体" w:eastAsia="宋体" w:cs="Times New Roman"/>
                <w:color w:val="auto"/>
                <w:highlight w:val="none"/>
                <w:lang w:eastAsia="zh-CN"/>
              </w:rPr>
            </w:pPr>
            <w:r>
              <w:rPr>
                <w:rFonts w:hint="eastAsia"/>
                <w:color w:val="auto"/>
                <w:highlight w:val="none"/>
                <w:lang w:eastAsia="zh-CN"/>
              </w:rPr>
              <w:t>（</w:t>
            </w:r>
            <w:r>
              <w:rPr>
                <w:rFonts w:hint="eastAsia"/>
                <w:color w:val="auto"/>
                <w:highlight w:val="none"/>
                <w:lang w:val="en-US" w:eastAsia="zh-CN"/>
              </w:rPr>
              <w:t>13</w:t>
            </w:r>
            <w:r>
              <w:rPr>
                <w:rFonts w:hint="eastAsia"/>
                <w:color w:val="auto"/>
                <w:highlight w:val="none"/>
                <w:lang w:eastAsia="zh-CN"/>
              </w:rPr>
              <w:t>）投标报价</w:t>
            </w:r>
            <w:r>
              <w:rPr>
                <w:rFonts w:hint="eastAsia" w:ascii="宋体" w:hAnsi="宋体" w:eastAsia="宋体" w:cs="Times New Roman"/>
                <w:color w:val="auto"/>
                <w:highlight w:val="none"/>
                <w:lang w:eastAsia="zh-CN"/>
              </w:rPr>
              <w:t>的大写金额能够确定具体数值。</w:t>
            </w:r>
          </w:p>
          <w:p w14:paraId="13FEA12E">
            <w:pPr>
              <w:pStyle w:val="2"/>
              <w:shd w:val="clear" w:color="auto" w:fill="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14</w:t>
            </w:r>
            <w:r>
              <w:rPr>
                <w:rFonts w:hint="eastAsia" w:ascii="宋体" w:hAnsi="宋体" w:eastAsia="宋体" w:cs="Times New Roman"/>
                <w:color w:val="auto"/>
                <w:highlight w:val="none"/>
                <w:lang w:eastAsia="zh-CN"/>
              </w:rPr>
              <w:t>）投标人未提交两个</w:t>
            </w:r>
            <w:r>
              <w:rPr>
                <w:rFonts w:hint="eastAsia" w:ascii="宋体" w:hAnsi="宋体" w:eastAsia="宋体" w:cs="Times New Roman"/>
                <w:color w:val="auto"/>
                <w:highlight w:val="none"/>
                <w:lang w:val="en-US" w:eastAsia="zh-CN"/>
              </w:rPr>
              <w:t>及</w:t>
            </w:r>
            <w:r>
              <w:rPr>
                <w:rFonts w:hint="eastAsia" w:ascii="宋体" w:hAnsi="宋体" w:eastAsia="宋体" w:cs="Times New Roman"/>
                <w:color w:val="auto"/>
                <w:highlight w:val="none"/>
                <w:lang w:eastAsia="zh-CN"/>
              </w:rPr>
              <w:t>以上不同的投标报价。</w:t>
            </w:r>
          </w:p>
          <w:p w14:paraId="6298E9C9">
            <w:pPr>
              <w:pStyle w:val="2"/>
              <w:shd w:val="clear" w:color="auto" w:fill="auto"/>
              <w:rPr>
                <w:rFonts w:hint="eastAsia" w:ascii="宋体" w:hAnsi="宋体" w:eastAsia="宋体" w:cs="Times New Roman"/>
                <w:color w:val="auto"/>
                <w:highlight w:val="none"/>
                <w:lang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15</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投标报价表</w:t>
            </w:r>
            <w:r>
              <w:rPr>
                <w:rFonts w:hint="eastAsia" w:ascii="宋体" w:hAnsi="宋体" w:eastAsia="宋体" w:cs="Times New Roman"/>
                <w:color w:val="auto"/>
                <w:highlight w:val="none"/>
                <w:lang w:eastAsia="zh-CN"/>
              </w:rPr>
              <w:t>中</w:t>
            </w:r>
            <w:r>
              <w:rPr>
                <w:rFonts w:hint="eastAsia" w:ascii="宋体" w:hAnsi="宋体" w:eastAsia="宋体" w:cs="Times New Roman"/>
                <w:color w:val="auto"/>
                <w:highlight w:val="none"/>
                <w:lang w:val="en-US" w:eastAsia="zh-CN"/>
              </w:rPr>
              <w:t>投标报价</w:t>
            </w:r>
            <w:r>
              <w:rPr>
                <w:rFonts w:hint="eastAsia" w:ascii="宋体" w:hAnsi="宋体" w:eastAsia="宋体" w:cs="Times New Roman"/>
                <w:color w:val="auto"/>
                <w:highlight w:val="none"/>
                <w:lang w:eastAsia="zh-CN"/>
              </w:rPr>
              <w:t>金额与投标函</w:t>
            </w:r>
            <w:r>
              <w:rPr>
                <w:rFonts w:hint="eastAsia" w:ascii="宋体" w:hAnsi="宋体" w:eastAsia="宋体" w:cs="Times New Roman"/>
                <w:color w:val="auto"/>
                <w:highlight w:val="none"/>
                <w:lang w:val="en-US" w:eastAsia="zh-CN"/>
              </w:rPr>
              <w:t>报价</w:t>
            </w:r>
            <w:r>
              <w:rPr>
                <w:rFonts w:hint="eastAsia" w:ascii="宋体" w:hAnsi="宋体" w:eastAsia="宋体" w:cs="Times New Roman"/>
                <w:color w:val="auto"/>
                <w:highlight w:val="none"/>
                <w:lang w:eastAsia="zh-CN"/>
              </w:rPr>
              <w:t>大写金额一致。</w:t>
            </w:r>
          </w:p>
          <w:p w14:paraId="0DD2EECB">
            <w:pPr>
              <w:pStyle w:val="2"/>
              <w:shd w:val="clear" w:color="auto" w:fill="auto"/>
              <w:rPr>
                <w:rFonts w:hint="default"/>
                <w:color w:val="auto"/>
                <w:highlight w:val="none"/>
                <w:lang w:val="en-US"/>
              </w:rPr>
            </w:pPr>
            <w:r>
              <w:rPr>
                <w:rFonts w:hint="default"/>
                <w:color w:val="auto"/>
                <w:highlight w:val="none"/>
                <w:lang w:val="en-US"/>
              </w:rPr>
              <w:t>（</w:t>
            </w:r>
            <w:r>
              <w:rPr>
                <w:rFonts w:hint="eastAsia"/>
                <w:color w:val="auto"/>
                <w:highlight w:val="none"/>
                <w:lang w:val="en-US" w:eastAsia="zh-CN"/>
              </w:rPr>
              <w:t>16</w:t>
            </w:r>
            <w:r>
              <w:rPr>
                <w:rFonts w:hint="default"/>
                <w:color w:val="auto"/>
                <w:highlight w:val="none"/>
                <w:lang w:val="en-US"/>
              </w:rPr>
              <w:t>）投标人不存在因投标人须知前附表3.2.5项规定被评标委员会认定为低于成本或</w:t>
            </w:r>
            <w:r>
              <w:rPr>
                <w:rFonts w:hint="eastAsia"/>
                <w:color w:val="auto"/>
                <w:highlight w:val="none"/>
                <w:lang w:val="en-US" w:eastAsia="zh-CN"/>
              </w:rPr>
              <w:t>影响</w:t>
            </w:r>
            <w:r>
              <w:rPr>
                <w:rFonts w:hint="default"/>
                <w:color w:val="auto"/>
                <w:highlight w:val="none"/>
                <w:lang w:val="en-US"/>
              </w:rPr>
              <w:t>履约的异常低价</w:t>
            </w:r>
            <w:r>
              <w:rPr>
                <w:rFonts w:hint="eastAsia"/>
                <w:color w:val="auto"/>
                <w:highlight w:val="none"/>
                <w:lang w:val="en-US" w:eastAsia="zh-CN"/>
              </w:rPr>
              <w:t>竞标</w:t>
            </w:r>
            <w:r>
              <w:rPr>
                <w:rFonts w:hint="default"/>
                <w:color w:val="auto"/>
                <w:highlight w:val="none"/>
                <w:lang w:val="en-US"/>
              </w:rPr>
              <w:t>的情形。</w:t>
            </w:r>
          </w:p>
          <w:p w14:paraId="10FA03E2">
            <w:pPr>
              <w:pStyle w:val="2"/>
              <w:shd w:val="clear" w:color="auto" w:fill="auto"/>
              <w:rPr>
                <w:rFonts w:hint="default"/>
                <w:color w:val="auto"/>
                <w:highlight w:val="none"/>
                <w:lang w:val="en-US"/>
              </w:rPr>
            </w:pPr>
            <w:r>
              <w:rPr>
                <w:rFonts w:hint="default"/>
                <w:color w:val="auto"/>
                <w:highlight w:val="none"/>
                <w:lang w:val="en-US"/>
              </w:rPr>
              <w:t>（</w:t>
            </w:r>
            <w:r>
              <w:rPr>
                <w:rFonts w:hint="eastAsia"/>
                <w:color w:val="auto"/>
                <w:highlight w:val="none"/>
                <w:lang w:val="en-US" w:eastAsia="zh-CN"/>
              </w:rPr>
              <w:t>17</w:t>
            </w:r>
            <w:r>
              <w:rPr>
                <w:rFonts w:hint="default"/>
                <w:color w:val="auto"/>
                <w:highlight w:val="none"/>
                <w:lang w:val="en-US"/>
              </w:rPr>
              <w:t>）投标人不存在投标人须知前附表4.4（1）、（3）情形。</w:t>
            </w:r>
          </w:p>
          <w:p w14:paraId="16024EED">
            <w:pPr>
              <w:pStyle w:val="2"/>
              <w:shd w:val="clear" w:color="auto" w:fill="auto"/>
              <w:rPr>
                <w:rFonts w:hint="default"/>
                <w:color w:val="auto"/>
                <w:highlight w:val="none"/>
                <w:lang w:val="en-US"/>
              </w:rPr>
            </w:pPr>
            <w:r>
              <w:rPr>
                <w:rFonts w:hint="default"/>
                <w:color w:val="auto"/>
                <w:highlight w:val="none"/>
                <w:lang w:val="en-US"/>
              </w:rPr>
              <w:t>（</w:t>
            </w:r>
            <w:r>
              <w:rPr>
                <w:rFonts w:hint="eastAsia"/>
                <w:color w:val="auto"/>
                <w:highlight w:val="none"/>
                <w:lang w:val="en-US" w:eastAsia="zh-CN"/>
              </w:rPr>
              <w:t>18</w:t>
            </w:r>
            <w:r>
              <w:rPr>
                <w:rFonts w:hint="default"/>
                <w:color w:val="auto"/>
                <w:highlight w:val="none"/>
                <w:lang w:val="en-US"/>
              </w:rPr>
              <w:t>）投标人不存在因投标人须知前附表4.4(2)项规定的情形被评标委员会认定为投标文件异常一致或投标活动异常关联情形。</w:t>
            </w:r>
          </w:p>
        </w:tc>
      </w:tr>
      <w:tr w14:paraId="5271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1077" w:type="dxa"/>
            <w:noWrap w:val="0"/>
            <w:vAlign w:val="center"/>
          </w:tcPr>
          <w:p w14:paraId="7074821A">
            <w:pPr>
              <w:shd w:val="clear" w:color="auto" w:fill="auto"/>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2.1.2</w:t>
            </w:r>
          </w:p>
        </w:tc>
        <w:tc>
          <w:tcPr>
            <w:tcW w:w="1589" w:type="dxa"/>
            <w:noWrap w:val="0"/>
            <w:vAlign w:val="center"/>
          </w:tcPr>
          <w:p w14:paraId="0DFAB53B">
            <w:pPr>
              <w:shd w:val="clear" w:color="auto" w:fill="auto"/>
              <w:adjustRightInd w:val="0"/>
              <w:snapToGrid w:val="0"/>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资格评审标准</w:t>
            </w:r>
          </w:p>
        </w:tc>
        <w:tc>
          <w:tcPr>
            <w:tcW w:w="6405" w:type="dxa"/>
            <w:noWrap w:val="0"/>
            <w:vAlign w:val="center"/>
          </w:tcPr>
          <w:p w14:paraId="79EC1A34">
            <w:pPr>
              <w:shd w:val="clear" w:color="auto" w:fill="auto"/>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（1）投标人具备有效的企业营业执照和基本账户开户许可证（或基本存款账户信息）；</w:t>
            </w:r>
          </w:p>
          <w:p w14:paraId="1A718662">
            <w:pPr>
              <w:shd w:val="clear" w:color="auto" w:fill="auto"/>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（2）投标人的资质条件符合招标文件规定；</w:t>
            </w:r>
          </w:p>
          <w:p w14:paraId="2415787F">
            <w:pPr>
              <w:shd w:val="clear" w:color="auto" w:fill="auto"/>
              <w:snapToGrid w:val="0"/>
              <w:spacing w:line="24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（3）投标人</w:t>
            </w:r>
            <w:r>
              <w:rPr>
                <w:rFonts w:hint="eastAsia" w:ascii="宋体" w:hAnsi="宋体" w:eastAsia="宋体" w:cs="宋体"/>
                <w:color w:val="auto"/>
                <w:sz w:val="24"/>
                <w:szCs w:val="24"/>
                <w:highlight w:val="none"/>
              </w:rPr>
              <w:t>的业绩</w:t>
            </w:r>
            <w:r>
              <w:rPr>
                <w:rFonts w:hint="eastAsia" w:ascii="宋体" w:hAnsi="宋体" w:eastAsia="宋体" w:cs="宋体"/>
                <w:color w:val="auto"/>
                <w:sz w:val="24"/>
                <w:szCs w:val="24"/>
                <w:highlight w:val="none"/>
                <w:lang w:val="en-US" w:eastAsia="zh-CN"/>
              </w:rPr>
              <w:t>条件</w:t>
            </w:r>
            <w:r>
              <w:rPr>
                <w:rFonts w:hint="eastAsia" w:ascii="宋体" w:hAnsi="宋体" w:eastAsia="宋体" w:cs="宋体"/>
                <w:color w:val="auto"/>
                <w:sz w:val="24"/>
                <w:szCs w:val="24"/>
                <w:highlight w:val="none"/>
              </w:rPr>
              <w:t>符合招标文件规定；</w:t>
            </w:r>
          </w:p>
          <w:p w14:paraId="7817BED4">
            <w:pPr>
              <w:shd w:val="clear" w:color="auto" w:fill="auto"/>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）投标人的信誉</w:t>
            </w:r>
            <w:r>
              <w:rPr>
                <w:rFonts w:hint="eastAsia" w:ascii="宋体" w:hAnsi="宋体" w:eastAsia="宋体" w:cs="宋体"/>
                <w:color w:val="auto"/>
                <w:sz w:val="24"/>
                <w:szCs w:val="24"/>
                <w:highlight w:val="none"/>
                <w:lang w:val="en-US" w:eastAsia="zh-CN"/>
              </w:rPr>
              <w:t>条件</w:t>
            </w:r>
            <w:r>
              <w:rPr>
                <w:rFonts w:hint="eastAsia" w:ascii="宋体" w:hAnsi="宋体" w:eastAsia="宋体" w:cs="宋体"/>
                <w:color w:val="auto"/>
                <w:sz w:val="24"/>
                <w:szCs w:val="24"/>
                <w:highlight w:val="none"/>
                <w:lang w:eastAsia="zh-CN"/>
              </w:rPr>
              <w:t>符合招标文件规定；</w:t>
            </w:r>
          </w:p>
          <w:p w14:paraId="62E7232E">
            <w:pPr>
              <w:shd w:val="clear" w:color="auto" w:fill="auto"/>
              <w:snapToGrid w:val="0"/>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）投标人的</w:t>
            </w:r>
            <w:r>
              <w:rPr>
                <w:rFonts w:hint="eastAsia" w:ascii="宋体" w:hAnsi="宋体" w:eastAsia="宋体" w:cs="宋体"/>
                <w:color w:val="auto"/>
                <w:sz w:val="24"/>
                <w:szCs w:val="24"/>
                <w:highlight w:val="none"/>
                <w:lang w:val="en-US" w:eastAsia="zh-CN"/>
              </w:rPr>
              <w:t>项目负责人条件</w:t>
            </w:r>
            <w:r>
              <w:rPr>
                <w:rFonts w:hint="eastAsia" w:ascii="宋体" w:hAnsi="宋体" w:eastAsia="宋体" w:cs="宋体"/>
                <w:color w:val="auto"/>
                <w:sz w:val="24"/>
                <w:szCs w:val="24"/>
                <w:highlight w:val="none"/>
                <w:lang w:eastAsia="zh-CN"/>
              </w:rPr>
              <w:t>符合招标文件规定；</w:t>
            </w:r>
          </w:p>
          <w:p w14:paraId="7BBC154E">
            <w:pPr>
              <w:shd w:val="clear" w:color="auto" w:fill="auto"/>
              <w:snapToGrid w:val="0"/>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）投标人不存在第二章“投标人须知”第1.4.3项规定的任何一种情形。</w:t>
            </w:r>
          </w:p>
          <w:p w14:paraId="7ABD781E">
            <w:pPr>
              <w:shd w:val="clear" w:color="auto" w:fill="auto"/>
              <w:snapToGrid w:val="0"/>
              <w:rPr>
                <w:rFonts w:hint="eastAsia" w:ascii="宋体" w:hAnsi="宋体" w:cs="宋体"/>
                <w:color w:val="auto"/>
                <w:sz w:val="24"/>
                <w:highlight w:val="none"/>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）投标人名称与营业执照一致，如企业名称有变更的，应提供其变更记录或相关部门的合法批件复印件。</w:t>
            </w:r>
          </w:p>
        </w:tc>
      </w:tr>
      <w:tr w14:paraId="50D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077" w:type="dxa"/>
            <w:noWrap w:val="0"/>
            <w:vAlign w:val="center"/>
          </w:tcPr>
          <w:p w14:paraId="6FE105B2">
            <w:pPr>
              <w:shd w:val="clear" w:color="auto" w:fill="auto"/>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2.2.1</w:t>
            </w:r>
          </w:p>
        </w:tc>
        <w:tc>
          <w:tcPr>
            <w:tcW w:w="1589" w:type="dxa"/>
            <w:noWrap w:val="0"/>
            <w:vAlign w:val="center"/>
          </w:tcPr>
          <w:p w14:paraId="559318F2">
            <w:pPr>
              <w:shd w:val="clear" w:color="auto" w:fill="auto"/>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分值构成</w:t>
            </w:r>
          </w:p>
          <w:p w14:paraId="6FEEC959">
            <w:pPr>
              <w:shd w:val="clear" w:color="auto" w:fill="auto"/>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（总分100分）</w:t>
            </w:r>
          </w:p>
        </w:tc>
        <w:tc>
          <w:tcPr>
            <w:tcW w:w="6405" w:type="dxa"/>
            <w:noWrap w:val="0"/>
            <w:vAlign w:val="center"/>
          </w:tcPr>
          <w:p w14:paraId="44F65FC0">
            <w:pPr>
              <w:shd w:val="clear" w:color="auto" w:fill="auto"/>
              <w:rPr>
                <w:rFonts w:hint="eastAsia" w:ascii="宋体" w:hAnsi="宋体" w:cs="宋体"/>
                <w:bCs/>
                <w:color w:val="auto"/>
                <w:sz w:val="24"/>
                <w:highlight w:val="none"/>
              </w:rPr>
            </w:pPr>
            <w:r>
              <w:rPr>
                <w:rFonts w:hint="eastAsia" w:ascii="宋体" w:hAnsi="宋体" w:eastAsia="宋体" w:cs="宋体"/>
                <w:color w:val="auto"/>
                <w:sz w:val="24"/>
                <w:szCs w:val="24"/>
                <w:highlight w:val="none"/>
                <w:lang w:eastAsia="zh-CN"/>
              </w:rPr>
              <w:t>服务方案（</w:t>
            </w:r>
            <w:r>
              <w:rPr>
                <w:rFonts w:hint="eastAsia" w:ascii="宋体" w:hAnsi="宋体" w:eastAsia="宋体" w:cs="宋体"/>
                <w:color w:val="auto"/>
                <w:sz w:val="24"/>
                <w:szCs w:val="24"/>
                <w:highlight w:val="none"/>
                <w:lang w:val="en-US" w:eastAsia="zh-CN"/>
              </w:rPr>
              <w:t>暗标</w:t>
            </w:r>
            <w:r>
              <w:rPr>
                <w:rFonts w:hint="eastAsia" w:ascii="宋体" w:hAnsi="宋体" w:eastAsia="宋体" w:cs="宋体"/>
                <w:color w:val="auto"/>
                <w:sz w:val="24"/>
                <w:szCs w:val="24"/>
                <w:highlight w:val="none"/>
                <w:lang w:eastAsia="zh-CN"/>
              </w:rPr>
              <w:t>）：</w:t>
            </w:r>
            <w:r>
              <w:rPr>
                <w:rFonts w:hint="eastAsia" w:ascii="宋体" w:hAnsi="宋体" w:cs="宋体"/>
                <w:bCs/>
                <w:color w:val="auto"/>
                <w:sz w:val="24"/>
                <w:highlight w:val="none"/>
                <w:lang w:val="en-US" w:eastAsia="zh-CN"/>
              </w:rPr>
              <w:t>45</w:t>
            </w:r>
            <w:r>
              <w:rPr>
                <w:rFonts w:hint="eastAsia" w:ascii="宋体" w:hAnsi="宋体" w:cs="宋体"/>
                <w:bCs/>
                <w:color w:val="auto"/>
                <w:sz w:val="24"/>
                <w:highlight w:val="none"/>
              </w:rPr>
              <w:t>分</w:t>
            </w:r>
          </w:p>
          <w:p w14:paraId="7F04ABE2">
            <w:pPr>
              <w:shd w:val="clear" w:color="auto" w:fill="auto"/>
              <w:rPr>
                <w:rFonts w:hint="eastAsia" w:ascii="宋体" w:hAnsi="宋体" w:cs="宋体"/>
                <w:bCs/>
                <w:color w:val="auto"/>
                <w:sz w:val="24"/>
                <w:highlight w:val="none"/>
              </w:rPr>
            </w:pPr>
            <w:bookmarkStart w:id="7" w:name="_Toc9557"/>
            <w:bookmarkStart w:id="8" w:name="_Toc4458"/>
            <w:bookmarkStart w:id="9" w:name="_Toc68032927"/>
            <w:r>
              <w:rPr>
                <w:rFonts w:hint="eastAsia" w:ascii="宋体" w:hAnsi="宋体" w:cs="宋体"/>
                <w:bCs/>
                <w:color w:val="auto"/>
                <w:spacing w:val="40"/>
                <w:kern w:val="0"/>
                <w:sz w:val="24"/>
                <w:highlight w:val="none"/>
                <w:fitText w:val="1200" w:id="649671692"/>
              </w:rPr>
              <w:t>企业业</w:t>
            </w:r>
            <w:r>
              <w:rPr>
                <w:rFonts w:hint="eastAsia" w:ascii="宋体" w:hAnsi="宋体" w:cs="宋体"/>
                <w:bCs/>
                <w:color w:val="auto"/>
                <w:spacing w:val="0"/>
                <w:kern w:val="0"/>
                <w:sz w:val="24"/>
                <w:highlight w:val="none"/>
                <w:fitText w:val="1200" w:id="649671692"/>
              </w:rPr>
              <w:t>绩</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1</w:t>
            </w:r>
            <w:r>
              <w:rPr>
                <w:rFonts w:hint="eastAsia" w:ascii="宋体" w:hAnsi="宋体" w:cs="宋体"/>
                <w:bCs/>
                <w:color w:val="auto"/>
                <w:sz w:val="24"/>
                <w:highlight w:val="none"/>
              </w:rPr>
              <w:t>5分</w:t>
            </w:r>
            <w:bookmarkEnd w:id="7"/>
            <w:bookmarkEnd w:id="8"/>
            <w:bookmarkEnd w:id="9"/>
          </w:p>
          <w:p w14:paraId="63A8A17D">
            <w:pPr>
              <w:shd w:val="clear" w:color="auto" w:fill="auto"/>
              <w:rPr>
                <w:rFonts w:hint="eastAsia" w:ascii="宋体" w:hAnsi="宋体" w:cs="宋体"/>
                <w:bCs/>
                <w:color w:val="auto"/>
                <w:sz w:val="24"/>
                <w:highlight w:val="none"/>
              </w:rPr>
            </w:pPr>
            <w:r>
              <w:rPr>
                <w:rFonts w:hint="eastAsia" w:ascii="宋体" w:hAnsi="宋体" w:cs="宋体"/>
                <w:bCs/>
                <w:color w:val="auto"/>
                <w:sz w:val="24"/>
                <w:highlight w:val="none"/>
              </w:rPr>
              <w:t>项目负责人：</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分</w:t>
            </w:r>
          </w:p>
          <w:p w14:paraId="4A3BECB6">
            <w:pPr>
              <w:shd w:val="clear" w:color="auto" w:fill="auto"/>
              <w:adjustRightInd w:val="0"/>
              <w:snapToGrid w:val="0"/>
              <w:rPr>
                <w:rFonts w:hint="eastAsia" w:ascii="宋体" w:hAnsi="宋体" w:cs="宋体"/>
                <w:color w:val="auto"/>
                <w:sz w:val="24"/>
                <w:highlight w:val="none"/>
              </w:rPr>
            </w:pPr>
            <w:r>
              <w:rPr>
                <w:rFonts w:hint="eastAsia" w:ascii="宋体" w:hAnsi="宋体" w:cs="宋体"/>
                <w:color w:val="auto"/>
                <w:spacing w:val="120"/>
                <w:kern w:val="0"/>
                <w:sz w:val="24"/>
                <w:highlight w:val="none"/>
                <w:fitText w:val="1200" w:id="1204120571"/>
              </w:rPr>
              <w:t>评标</w:t>
            </w:r>
            <w:r>
              <w:rPr>
                <w:rFonts w:hint="eastAsia" w:ascii="宋体" w:hAnsi="宋体" w:cs="宋体"/>
                <w:color w:val="auto"/>
                <w:spacing w:val="0"/>
                <w:kern w:val="0"/>
                <w:sz w:val="24"/>
                <w:highlight w:val="none"/>
                <w:fitText w:val="1200" w:id="1204120571"/>
              </w:rPr>
              <w:t>价</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0分</w:t>
            </w:r>
          </w:p>
        </w:tc>
      </w:tr>
      <w:tr w14:paraId="0339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33" w:hRule="atLeast"/>
          <w:jc w:val="center"/>
        </w:trPr>
        <w:tc>
          <w:tcPr>
            <w:tcW w:w="1077" w:type="dxa"/>
            <w:noWrap w:val="0"/>
            <w:vAlign w:val="center"/>
          </w:tcPr>
          <w:p w14:paraId="48DB741C">
            <w:pPr>
              <w:shd w:val="clear" w:color="auto" w:fill="auto"/>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2.2.2</w:t>
            </w:r>
          </w:p>
        </w:tc>
        <w:tc>
          <w:tcPr>
            <w:tcW w:w="1589" w:type="dxa"/>
            <w:noWrap w:val="0"/>
            <w:vAlign w:val="center"/>
          </w:tcPr>
          <w:p w14:paraId="5916E058">
            <w:pPr>
              <w:shd w:val="clear" w:color="auto" w:fill="auto"/>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w:t>
            </w:r>
          </w:p>
          <w:p w14:paraId="581ADA6A">
            <w:pPr>
              <w:shd w:val="clear" w:color="auto" w:fill="auto"/>
              <w:adjustRightInd w:val="0"/>
              <w:snapToGrid w:val="0"/>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计算方法</w:t>
            </w:r>
          </w:p>
        </w:tc>
        <w:tc>
          <w:tcPr>
            <w:tcW w:w="6405" w:type="dxa"/>
            <w:noWrap w:val="0"/>
            <w:vAlign w:val="center"/>
          </w:tcPr>
          <w:p w14:paraId="76896BA4">
            <w:pPr>
              <w:pStyle w:val="8"/>
              <w:shd w:val="clear" w:color="auto" w:fill="auto"/>
              <w:spacing w:line="240" w:lineRule="auto"/>
              <w:ind w:left="0" w:leftChars="0" w:firstLine="0" w:firstLineChars="0"/>
              <w:rPr>
                <w:rFonts w:hint="eastAsia" w:cs="宋体"/>
                <w:color w:val="auto"/>
                <w:szCs w:val="24"/>
                <w:highlight w:val="none"/>
              </w:rPr>
            </w:pPr>
            <w:r>
              <w:rPr>
                <w:rFonts w:hint="eastAsia" w:cs="宋体"/>
                <w:color w:val="auto"/>
                <w:szCs w:val="24"/>
                <w:highlight w:val="none"/>
              </w:rPr>
              <w:t>评标基准价的计算：</w:t>
            </w:r>
          </w:p>
          <w:p w14:paraId="52E82911">
            <w:pPr>
              <w:pStyle w:val="8"/>
              <w:shd w:val="clear" w:color="auto" w:fill="auto"/>
              <w:spacing w:line="240" w:lineRule="auto"/>
              <w:ind w:left="0" w:leftChars="0" w:firstLine="0" w:firstLineChars="0"/>
              <w:rPr>
                <w:rFonts w:hint="eastAsia" w:cs="宋体"/>
                <w:color w:val="auto"/>
                <w:szCs w:val="24"/>
                <w:highlight w:val="none"/>
              </w:rPr>
            </w:pPr>
            <w:r>
              <w:rPr>
                <w:rFonts w:hint="eastAsia" w:cs="宋体"/>
                <w:color w:val="auto"/>
                <w:szCs w:val="24"/>
                <w:highlight w:val="none"/>
              </w:rPr>
              <w:t>1、评标价的确定：</w:t>
            </w:r>
          </w:p>
          <w:p w14:paraId="71F337A4">
            <w:pPr>
              <w:pStyle w:val="8"/>
              <w:shd w:val="clear" w:color="auto" w:fill="auto"/>
              <w:spacing w:line="240" w:lineRule="auto"/>
              <w:ind w:left="0" w:leftChars="0" w:firstLine="0" w:firstLineChars="0"/>
              <w:rPr>
                <w:rFonts w:hint="eastAsia" w:cs="宋体"/>
                <w:color w:val="auto"/>
                <w:szCs w:val="24"/>
                <w:highlight w:val="none"/>
              </w:rPr>
            </w:pPr>
            <w:r>
              <w:rPr>
                <w:rFonts w:hint="eastAsia" w:cs="宋体"/>
                <w:color w:val="auto"/>
                <w:szCs w:val="24"/>
                <w:highlight w:val="none"/>
              </w:rPr>
              <w:t>评标价=投标函文字报价</w:t>
            </w:r>
          </w:p>
          <w:p w14:paraId="0928DA22">
            <w:pPr>
              <w:pStyle w:val="8"/>
              <w:shd w:val="clear" w:color="auto" w:fill="auto"/>
              <w:spacing w:line="240" w:lineRule="auto"/>
              <w:ind w:left="0" w:leftChars="0" w:firstLine="0" w:firstLineChars="0"/>
              <w:rPr>
                <w:rFonts w:hint="eastAsia" w:cs="宋体"/>
                <w:color w:val="auto"/>
                <w:szCs w:val="24"/>
                <w:highlight w:val="none"/>
              </w:rPr>
            </w:pPr>
            <w:r>
              <w:rPr>
                <w:rFonts w:hint="eastAsia" w:cs="宋体"/>
                <w:color w:val="auto"/>
                <w:szCs w:val="24"/>
                <w:highlight w:val="none"/>
              </w:rPr>
              <w:t>2、评标价平均值的计算：</w:t>
            </w:r>
          </w:p>
          <w:p w14:paraId="3E344007">
            <w:pPr>
              <w:pStyle w:val="8"/>
              <w:shd w:val="clear" w:color="auto" w:fill="auto"/>
              <w:spacing w:line="240" w:lineRule="auto"/>
              <w:ind w:left="0" w:leftChars="0" w:firstLine="0" w:firstLineChars="0"/>
              <w:rPr>
                <w:rFonts w:hint="eastAsia" w:cs="宋体"/>
                <w:color w:val="auto"/>
                <w:szCs w:val="24"/>
                <w:highlight w:val="none"/>
              </w:rPr>
            </w:pPr>
            <w:r>
              <w:rPr>
                <w:rFonts w:hint="eastAsia" w:cs="宋体"/>
                <w:color w:val="auto"/>
                <w:szCs w:val="24"/>
                <w:highlight w:val="none"/>
                <w:lang w:val="en-US" w:eastAsia="zh-CN"/>
              </w:rPr>
              <w:t>根据第二章“投标人须知”前附表第5.5款规定在开标现场被宣布为不进入评标基准价计算的投标报价除外，</w:t>
            </w:r>
            <w:r>
              <w:rPr>
                <w:rFonts w:hint="eastAsia" w:cs="宋体"/>
                <w:color w:val="auto"/>
                <w:szCs w:val="24"/>
                <w:highlight w:val="none"/>
              </w:rPr>
              <w:t>所有投标人的评标价去掉规定个数的最高值和最低值后的算术平均值即为评标价平均值。</w:t>
            </w:r>
          </w:p>
          <w:p w14:paraId="127BF2CC">
            <w:pPr>
              <w:shd w:val="clear" w:color="auto" w:fill="auto"/>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a、如果参与评标价平均值计算的投标人数量＜6家时，计算评标价平均值时不去掉最高值和最低值。</w:t>
            </w:r>
          </w:p>
          <w:p w14:paraId="07EFF795">
            <w:pPr>
              <w:shd w:val="clear" w:color="auto" w:fill="auto"/>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b、如果6家≤参与评标价平均值计算的投标人数量＜10家时，计算评标价平均值时去掉1个最高值和1个最低值。</w:t>
            </w:r>
          </w:p>
          <w:p w14:paraId="234A9FE1">
            <w:pPr>
              <w:shd w:val="clear" w:color="auto" w:fill="auto"/>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c、如果10家≤参与评标价平均值计算的投标人数量＜20家时，计算评标价平均值时去掉2个最高值和2个最低值。</w:t>
            </w:r>
          </w:p>
          <w:p w14:paraId="174209CC">
            <w:pPr>
              <w:pStyle w:val="8"/>
              <w:shd w:val="clear" w:color="auto" w:fill="auto"/>
              <w:spacing w:line="240" w:lineRule="auto"/>
              <w:ind w:left="0" w:leftChars="0" w:firstLine="0" w:firstLineChars="0"/>
              <w:rPr>
                <w:rFonts w:hint="eastAsia" w:cs="宋体"/>
                <w:color w:val="auto"/>
                <w:szCs w:val="24"/>
                <w:highlight w:val="none"/>
              </w:rPr>
            </w:pPr>
            <w:r>
              <w:rPr>
                <w:rFonts w:hint="eastAsia" w:ascii="宋体" w:hAnsi="宋体" w:eastAsia="宋体" w:cs="宋体"/>
                <w:snapToGrid w:val="0"/>
                <w:color w:val="auto"/>
                <w:kern w:val="0"/>
                <w:sz w:val="24"/>
                <w:szCs w:val="24"/>
                <w:highlight w:val="none"/>
                <w:lang w:val="en-US" w:eastAsia="zh-CN"/>
              </w:rPr>
              <w:t>3、</w:t>
            </w:r>
            <w:r>
              <w:rPr>
                <w:rFonts w:hint="eastAsia" w:cs="宋体"/>
                <w:color w:val="auto"/>
                <w:szCs w:val="24"/>
                <w:highlight w:val="none"/>
              </w:rPr>
              <w:t>评标基准价的确定：</w:t>
            </w:r>
          </w:p>
          <w:p w14:paraId="2375811B">
            <w:pPr>
              <w:pStyle w:val="8"/>
              <w:shd w:val="clear" w:color="auto" w:fill="auto"/>
              <w:spacing w:line="240" w:lineRule="auto"/>
              <w:ind w:left="0" w:leftChars="0" w:firstLine="0" w:firstLineChars="0"/>
              <w:rPr>
                <w:rFonts w:hint="eastAsia" w:cs="宋体"/>
                <w:color w:val="auto"/>
                <w:szCs w:val="24"/>
                <w:highlight w:val="none"/>
              </w:rPr>
            </w:pPr>
            <w:r>
              <w:rPr>
                <w:rFonts w:hint="eastAsia" w:cs="宋体"/>
                <w:color w:val="auto"/>
                <w:szCs w:val="24"/>
                <w:highlight w:val="none"/>
              </w:rPr>
              <w:t>评标价平均值作为评标基准价。</w:t>
            </w:r>
          </w:p>
          <w:p w14:paraId="28792E4A">
            <w:pPr>
              <w:pStyle w:val="8"/>
              <w:shd w:val="clear" w:color="auto" w:fill="auto"/>
              <w:spacing w:line="240" w:lineRule="auto"/>
              <w:ind w:left="0" w:leftChars="0" w:firstLine="0" w:firstLineChars="0"/>
              <w:rPr>
                <w:rFonts w:hint="eastAsia" w:cs="宋体"/>
                <w:color w:val="auto"/>
                <w:szCs w:val="24"/>
                <w:highlight w:val="none"/>
              </w:rPr>
            </w:pPr>
            <w:r>
              <w:rPr>
                <w:rFonts w:hint="eastAsia" w:cs="宋体"/>
                <w:color w:val="auto"/>
                <w:szCs w:val="24"/>
                <w:highlight w:val="none"/>
              </w:rPr>
              <w:t>评标基准价保留小数点后两位，小数点后第三位四舍五入。</w:t>
            </w:r>
          </w:p>
          <w:p w14:paraId="32AA8715">
            <w:pPr>
              <w:pStyle w:val="8"/>
              <w:shd w:val="clear" w:color="auto" w:fill="auto"/>
              <w:spacing w:line="240" w:lineRule="auto"/>
              <w:ind w:left="0" w:leftChars="0" w:firstLine="0" w:firstLineChars="0"/>
              <w:rPr>
                <w:rFonts w:hint="eastAsia" w:ascii="宋体" w:hAnsi="宋体" w:cs="宋体"/>
                <w:color w:val="auto"/>
                <w:sz w:val="24"/>
                <w:highlight w:val="none"/>
              </w:rPr>
            </w:pPr>
            <w:r>
              <w:rPr>
                <w:rFonts w:hint="eastAsia" w:ascii="宋体" w:hAnsi="宋体" w:eastAsia="宋体" w:cs="宋体"/>
                <w:snapToGrid w:val="0"/>
                <w:color w:val="auto"/>
                <w:kern w:val="0"/>
                <w:sz w:val="24"/>
                <w:szCs w:val="24"/>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16EF7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noWrap w:val="0"/>
            <w:vAlign w:val="center"/>
          </w:tcPr>
          <w:p w14:paraId="53051D82">
            <w:pPr>
              <w:shd w:val="clear" w:color="auto" w:fill="auto"/>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2.2.3</w:t>
            </w:r>
          </w:p>
        </w:tc>
        <w:tc>
          <w:tcPr>
            <w:tcW w:w="1589" w:type="dxa"/>
            <w:noWrap w:val="0"/>
            <w:vAlign w:val="center"/>
          </w:tcPr>
          <w:p w14:paraId="49C426B4">
            <w:pPr>
              <w:shd w:val="clear" w:color="auto" w:fill="auto"/>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评标价的偏差率计算公式</w:t>
            </w:r>
          </w:p>
        </w:tc>
        <w:tc>
          <w:tcPr>
            <w:tcW w:w="6405" w:type="dxa"/>
            <w:noWrap w:val="0"/>
            <w:vAlign w:val="center"/>
          </w:tcPr>
          <w:p w14:paraId="71DF5901">
            <w:pPr>
              <w:shd w:val="clear" w:color="auto" w:fill="auto"/>
              <w:adjustRightInd w:val="0"/>
              <w:snapToGrid w:val="0"/>
              <w:rPr>
                <w:rFonts w:hint="eastAsia" w:ascii="宋体" w:hAnsi="宋体" w:cs="宋体"/>
                <w:color w:val="auto"/>
                <w:sz w:val="24"/>
                <w:highlight w:val="none"/>
              </w:rPr>
            </w:pPr>
            <w:r>
              <w:rPr>
                <w:rFonts w:hint="eastAsia" w:ascii="宋体" w:hAnsi="宋体" w:cs="宋体"/>
                <w:color w:val="auto"/>
                <w:sz w:val="24"/>
                <w:highlight w:val="none"/>
              </w:rPr>
              <w:t>偏差率=100%×（投标人评标价-评标基准价）/评标基准价</w:t>
            </w:r>
          </w:p>
        </w:tc>
      </w:tr>
      <w:tr w14:paraId="1C5E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noWrap w:val="0"/>
            <w:vAlign w:val="center"/>
          </w:tcPr>
          <w:p w14:paraId="3CC6C9D8">
            <w:pPr>
              <w:shd w:val="clear" w:color="auto" w:fill="auto"/>
              <w:adjustRightInd w:val="0"/>
              <w:snapToGrid w:val="0"/>
              <w:jc w:val="center"/>
              <w:rPr>
                <w:rFonts w:hint="eastAsia" w:ascii="宋体" w:hAnsi="宋体" w:cs="宋体"/>
                <w:color w:val="auto"/>
                <w:sz w:val="24"/>
                <w:highlight w:val="none"/>
              </w:rPr>
            </w:pPr>
            <w:r>
              <w:rPr>
                <w:rFonts w:hint="eastAsia" w:ascii="宋体" w:hAnsi="宋体" w:cs="宋体"/>
                <w:color w:val="auto"/>
                <w:sz w:val="24"/>
                <w:highlight w:val="none"/>
              </w:rPr>
              <w:t>3.6.1</w:t>
            </w:r>
          </w:p>
        </w:tc>
        <w:tc>
          <w:tcPr>
            <w:tcW w:w="1589" w:type="dxa"/>
            <w:noWrap w:val="0"/>
            <w:vAlign w:val="center"/>
          </w:tcPr>
          <w:p w14:paraId="3B3D1AF6">
            <w:pPr>
              <w:shd w:val="clear" w:color="auto" w:fill="auto"/>
              <w:adjustRightInd w:val="0"/>
              <w:snapToGrid w:val="0"/>
              <w:jc w:val="center"/>
              <w:rPr>
                <w:rFonts w:hint="eastAsia" w:ascii="宋体" w:hAnsi="宋体" w:cs="宋体"/>
                <w:color w:val="auto"/>
                <w:sz w:val="24"/>
                <w:highlight w:val="none"/>
              </w:rPr>
            </w:pPr>
            <w:r>
              <w:rPr>
                <w:rFonts w:hint="eastAsia" w:ascii="宋体" w:hAnsi="宋体" w:eastAsia="宋体" w:cs="宋体"/>
                <w:color w:val="auto"/>
                <w:sz w:val="24"/>
                <w:szCs w:val="24"/>
                <w:highlight w:val="none"/>
              </w:rPr>
              <w:t>信息查询</w:t>
            </w:r>
          </w:p>
        </w:tc>
        <w:tc>
          <w:tcPr>
            <w:tcW w:w="6405" w:type="dxa"/>
            <w:noWrap w:val="0"/>
            <w:vAlign w:val="center"/>
          </w:tcPr>
          <w:p w14:paraId="5B5F3326">
            <w:pPr>
              <w:shd w:val="clear" w:color="auto" w:fill="auto"/>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修改为：</w:t>
            </w:r>
          </w:p>
          <w:p w14:paraId="700714C2">
            <w:pPr>
              <w:shd w:val="clear" w:color="auto" w:fill="auto"/>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在评标过程中，评标委员会应对以下信息进行查询：</w:t>
            </w:r>
          </w:p>
          <w:p w14:paraId="0CE799B7">
            <w:pPr>
              <w:shd w:val="clear" w:color="auto" w:fill="auto"/>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w:t>
            </w:r>
            <w:r>
              <w:rPr>
                <w:rFonts w:hint="eastAsia" w:ascii="宋体" w:hAnsi="宋体" w:eastAsia="宋体" w:cs="宋体"/>
                <w:color w:val="auto"/>
                <w:sz w:val="24"/>
                <w:szCs w:val="24"/>
                <w:highlight w:val="none"/>
                <w:lang w:val="en-US" w:eastAsia="zh-CN"/>
              </w:rPr>
              <w:t>活动</w:t>
            </w:r>
            <w:r>
              <w:rPr>
                <w:rFonts w:hint="eastAsia" w:ascii="宋体" w:hAnsi="宋体" w:eastAsia="宋体" w:cs="宋体"/>
                <w:color w:val="auto"/>
                <w:sz w:val="24"/>
                <w:szCs w:val="24"/>
                <w:highlight w:val="none"/>
                <w:lang w:eastAsia="zh-CN"/>
              </w:rPr>
              <w:t>）异常名录、重大税收违法失信主体</w:t>
            </w:r>
            <w:r>
              <w:rPr>
                <w:rFonts w:hint="eastAsia" w:ascii="宋体" w:hAnsi="宋体" w:eastAsia="宋体" w:cs="宋体"/>
                <w:color w:val="auto"/>
                <w:sz w:val="24"/>
                <w:szCs w:val="24"/>
                <w:highlight w:val="none"/>
                <w:lang w:val="en-US" w:eastAsia="zh-CN"/>
              </w:rPr>
              <w:t>名单</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rPr>
              <w:t>政府采购严重违法失信行为记录名单和安全生产严重失信主体名单</w:t>
            </w:r>
            <w:r>
              <w:rPr>
                <w:rFonts w:hint="eastAsia" w:ascii="宋体" w:hAnsi="宋体" w:eastAsia="宋体" w:cs="宋体"/>
                <w:color w:val="auto"/>
                <w:sz w:val="24"/>
                <w:szCs w:val="24"/>
                <w:highlight w:val="none"/>
                <w:lang w:eastAsia="zh-CN"/>
              </w:rPr>
              <w:t>（均不含分公司）的复核结果一致。</w:t>
            </w:r>
          </w:p>
          <w:p w14:paraId="57F724D3">
            <w:pPr>
              <w:shd w:val="clear" w:color="auto" w:fill="auto"/>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14:paraId="2C3EADD6">
            <w:pPr>
              <w:shd w:val="clear" w:color="auto" w:fill="auto"/>
              <w:snapToGrid w:val="0"/>
              <w:jc w:val="both"/>
              <w:rPr>
                <w:rFonts w:hint="eastAsia" w:ascii="宋体" w:hAnsi="宋体" w:cs="宋体"/>
                <w:color w:val="auto"/>
                <w:sz w:val="24"/>
                <w:highlight w:val="none"/>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tc>
      </w:tr>
      <w:tr w14:paraId="6F31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077" w:type="dxa"/>
            <w:noWrap w:val="0"/>
            <w:vAlign w:val="center"/>
          </w:tcPr>
          <w:p w14:paraId="4E2ACD26">
            <w:pPr>
              <w:shd w:val="clear" w:color="auto" w:fill="auto"/>
              <w:adjustRightInd w:val="0"/>
              <w:snapToGrid w:val="0"/>
              <w:spacing w:line="320" w:lineRule="exact"/>
              <w:jc w:val="center"/>
              <w:rPr>
                <w:rFonts w:hint="eastAsia" w:ascii="宋体" w:hAnsi="宋体" w:cs="宋体"/>
                <w:color w:val="auto"/>
                <w:sz w:val="24"/>
                <w:highlight w:val="none"/>
              </w:rPr>
            </w:pPr>
            <w:bookmarkStart w:id="10" w:name="_Toc155970201"/>
            <w:bookmarkStart w:id="11" w:name="_Toc155970157"/>
            <w:r>
              <w:rPr>
                <w:rFonts w:hint="eastAsia" w:ascii="宋体" w:hAnsi="宋体" w:eastAsia="宋体" w:cs="宋体"/>
                <w:color w:val="auto"/>
                <w:sz w:val="24"/>
                <w:szCs w:val="24"/>
                <w:highlight w:val="none"/>
                <w:lang w:val="en-US" w:eastAsia="zh-CN"/>
              </w:rPr>
              <w:t>增加3.6.2</w:t>
            </w:r>
          </w:p>
        </w:tc>
        <w:tc>
          <w:tcPr>
            <w:tcW w:w="1589" w:type="dxa"/>
            <w:noWrap w:val="0"/>
            <w:vAlign w:val="center"/>
          </w:tcPr>
          <w:p w14:paraId="63D68D17">
            <w:pPr>
              <w:shd w:val="clear" w:color="auto" w:fill="auto"/>
              <w:adjustRightInd w:val="0"/>
              <w:snapToGrid w:val="0"/>
              <w:spacing w:line="3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投标人其他异常投标情形</w:t>
            </w:r>
          </w:p>
        </w:tc>
        <w:tc>
          <w:tcPr>
            <w:tcW w:w="6405" w:type="dxa"/>
            <w:noWrap w:val="0"/>
            <w:vAlign w:val="center"/>
          </w:tcPr>
          <w:p w14:paraId="39A05C4F">
            <w:pPr>
              <w:numPr>
                <w:ilvl w:val="0"/>
                <w:numId w:val="0"/>
              </w:numPr>
              <w:shd w:val="clear" w:color="auto" w:fill="auto"/>
              <w:snapToGrid w:val="0"/>
              <w:spacing w:line="320" w:lineRule="exact"/>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1.投标人不存在投标人须知前附表4.4（1）、（3）情形。</w:t>
            </w:r>
          </w:p>
          <w:p w14:paraId="7DBC8531">
            <w:pPr>
              <w:numPr>
                <w:ilvl w:val="0"/>
                <w:numId w:val="0"/>
              </w:numPr>
              <w:shd w:val="clear" w:color="auto" w:fill="auto"/>
              <w:snapToGrid w:val="0"/>
              <w:spacing w:line="320" w:lineRule="exact"/>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2.投标人存在投标人须知前附表4.4（2）情形的，评标委员会应当通知投标人可在规定时间内作出解释说明。评标委员会经核查发现投标人存在投标文件异常一致或投标活动异常关联情形，应否决其投标。</w:t>
            </w:r>
          </w:p>
        </w:tc>
      </w:tr>
      <w:bookmarkEnd w:id="3"/>
      <w:bookmarkEnd w:id="4"/>
    </w:tbl>
    <w:p w14:paraId="4CA2CE5C">
      <w:pPr>
        <w:shd w:val="clear" w:color="auto" w:fill="auto"/>
        <w:rPr>
          <w:b/>
          <w:bCs/>
          <w:color w:val="auto"/>
          <w:sz w:val="24"/>
          <w:szCs w:val="32"/>
          <w:highlight w:val="none"/>
        </w:rPr>
        <w:sectPr>
          <w:pgSz w:w="11906" w:h="16838"/>
          <w:pgMar w:top="1418" w:right="1361" w:bottom="1361" w:left="1418" w:header="851" w:footer="737" w:gutter="0"/>
          <w:pgNumType w:fmt="numberInDash"/>
          <w:cols w:space="720" w:num="1"/>
          <w:docGrid w:linePitch="312" w:charSpace="0"/>
        </w:sectPr>
      </w:pPr>
    </w:p>
    <w:p w14:paraId="3B0CEE98">
      <w:pPr>
        <w:shd w:val="clear" w:color="auto" w:fill="auto"/>
        <w:rPr>
          <w:b/>
          <w:bCs/>
          <w:color w:val="auto"/>
          <w:sz w:val="24"/>
          <w:szCs w:val="32"/>
          <w:highlight w:val="none"/>
        </w:rPr>
      </w:pPr>
      <w:r>
        <w:rPr>
          <w:rFonts w:hint="eastAsia"/>
          <w:b/>
          <w:bCs/>
          <w:color w:val="auto"/>
          <w:sz w:val="24"/>
          <w:szCs w:val="32"/>
          <w:highlight w:val="none"/>
        </w:rPr>
        <w:t>评分细则</w:t>
      </w:r>
      <w:bookmarkEnd w:id="10"/>
      <w:bookmarkEnd w:id="11"/>
    </w:p>
    <w:p w14:paraId="0BC61D47">
      <w:pPr>
        <w:pStyle w:val="8"/>
        <w:shd w:val="clear" w:color="auto" w:fill="auto"/>
        <w:ind w:firstLine="0" w:firstLineChars="0"/>
        <w:rPr>
          <w:rFonts w:hint="eastAsia"/>
          <w:color w:val="auto"/>
          <w:highlight w:val="none"/>
        </w:rPr>
      </w:pPr>
    </w:p>
    <w:tbl>
      <w:tblPr>
        <w:tblStyle w:val="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128"/>
        <w:gridCol w:w="1565"/>
        <w:gridCol w:w="3686"/>
        <w:gridCol w:w="1869"/>
      </w:tblGrid>
      <w:tr w14:paraId="7AB6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951" w:type="dxa"/>
            <w:gridSpan w:val="2"/>
            <w:noWrap w:val="0"/>
            <w:vAlign w:val="center"/>
          </w:tcPr>
          <w:p w14:paraId="52E771E5">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条款号</w:t>
            </w:r>
          </w:p>
        </w:tc>
        <w:tc>
          <w:tcPr>
            <w:tcW w:w="1565" w:type="dxa"/>
            <w:noWrap w:val="0"/>
            <w:vAlign w:val="center"/>
          </w:tcPr>
          <w:p w14:paraId="0C53746F">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评分因素</w:t>
            </w:r>
          </w:p>
        </w:tc>
        <w:tc>
          <w:tcPr>
            <w:tcW w:w="5555" w:type="dxa"/>
            <w:gridSpan w:val="2"/>
            <w:noWrap w:val="0"/>
            <w:vAlign w:val="center"/>
          </w:tcPr>
          <w:p w14:paraId="62A07FFF">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评分标准</w:t>
            </w:r>
          </w:p>
        </w:tc>
      </w:tr>
      <w:tr w14:paraId="484A0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restart"/>
            <w:noWrap w:val="0"/>
            <w:vAlign w:val="center"/>
          </w:tcPr>
          <w:p w14:paraId="2AD82C2A">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2.2.4（1）</w:t>
            </w:r>
          </w:p>
        </w:tc>
        <w:tc>
          <w:tcPr>
            <w:tcW w:w="1128" w:type="dxa"/>
            <w:vMerge w:val="restart"/>
            <w:noWrap w:val="0"/>
            <w:vAlign w:val="center"/>
          </w:tcPr>
          <w:p w14:paraId="1D6EFF1C">
            <w:pPr>
              <w:shd w:val="clear" w:color="auto" w:fill="auto"/>
              <w:jc w:val="center"/>
              <w:rPr>
                <w:rFonts w:ascii="宋体" w:hAnsi="宋体" w:cs="宋体"/>
                <w:bCs/>
                <w:color w:val="auto"/>
                <w:sz w:val="24"/>
                <w:highlight w:val="none"/>
              </w:rPr>
            </w:pPr>
            <w:r>
              <w:rPr>
                <w:rFonts w:hint="eastAsia" w:ascii="宋体" w:hAnsi="宋体" w:cs="宋体"/>
                <w:bCs/>
                <w:color w:val="auto"/>
                <w:sz w:val="24"/>
                <w:highlight w:val="none"/>
              </w:rPr>
              <w:t>服务</w:t>
            </w:r>
          </w:p>
          <w:p w14:paraId="42928B81">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方案</w:t>
            </w:r>
          </w:p>
          <w:p w14:paraId="1E793EF6">
            <w:pPr>
              <w:pStyle w:val="2"/>
              <w:shd w:val="clear" w:color="auto" w:fill="auto"/>
              <w:rPr>
                <w:rFonts w:hint="eastAsia" w:eastAsia="宋体"/>
                <w:color w:val="auto"/>
                <w:highlight w:val="none"/>
                <w:lang w:eastAsia="zh-CN"/>
              </w:rPr>
            </w:pPr>
            <w:r>
              <w:rPr>
                <w:rFonts w:hint="eastAsia" w:cs="宋体"/>
                <w:bCs/>
                <w:color w:val="auto"/>
                <w:sz w:val="24"/>
                <w:highlight w:val="none"/>
                <w:lang w:eastAsia="zh-CN"/>
              </w:rPr>
              <w:t>（</w:t>
            </w:r>
            <w:r>
              <w:rPr>
                <w:rFonts w:hint="eastAsia" w:cs="宋体"/>
                <w:bCs/>
                <w:color w:val="auto"/>
                <w:sz w:val="24"/>
                <w:highlight w:val="none"/>
                <w:lang w:val="en-US" w:eastAsia="zh-CN"/>
              </w:rPr>
              <w:t>暗标</w:t>
            </w:r>
            <w:r>
              <w:rPr>
                <w:rFonts w:hint="eastAsia" w:cs="宋体"/>
                <w:bCs/>
                <w:color w:val="auto"/>
                <w:sz w:val="24"/>
                <w:highlight w:val="none"/>
                <w:lang w:eastAsia="zh-CN"/>
              </w:rPr>
              <w:t>）</w:t>
            </w:r>
          </w:p>
          <w:p w14:paraId="28F0E446">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45</w:t>
            </w:r>
            <w:r>
              <w:rPr>
                <w:rFonts w:hint="eastAsia" w:ascii="宋体" w:hAnsi="宋体" w:cs="宋体"/>
                <w:bCs/>
                <w:color w:val="auto"/>
                <w:sz w:val="24"/>
                <w:highlight w:val="none"/>
              </w:rPr>
              <w:t>分）</w:t>
            </w:r>
          </w:p>
        </w:tc>
        <w:tc>
          <w:tcPr>
            <w:tcW w:w="1565" w:type="dxa"/>
            <w:vMerge w:val="restart"/>
            <w:noWrap w:val="0"/>
            <w:vAlign w:val="center"/>
          </w:tcPr>
          <w:p w14:paraId="3B39C3B9">
            <w:pPr>
              <w:shd w:val="clear" w:color="auto" w:fill="auto"/>
              <w:jc w:val="center"/>
              <w:rPr>
                <w:rFonts w:hint="eastAsia" w:ascii="宋体" w:hAnsi="宋体" w:cs="宋体"/>
                <w:bCs/>
                <w:color w:val="auto"/>
                <w:spacing w:val="29"/>
                <w:sz w:val="24"/>
                <w:highlight w:val="none"/>
              </w:rPr>
            </w:pPr>
            <w:r>
              <w:rPr>
                <w:rFonts w:hint="eastAsia" w:ascii="宋体" w:hAnsi="宋体" w:cs="宋体"/>
                <w:bCs/>
                <w:color w:val="auto"/>
                <w:spacing w:val="29"/>
                <w:sz w:val="24"/>
                <w:highlight w:val="none"/>
              </w:rPr>
              <w:t>整体服务方案</w:t>
            </w:r>
          </w:p>
          <w:p w14:paraId="794DFDBE">
            <w:pPr>
              <w:shd w:val="clear" w:color="auto" w:fill="auto"/>
              <w:jc w:val="center"/>
              <w:rPr>
                <w:rFonts w:hint="eastAsia" w:ascii="宋体" w:hAnsi="宋体" w:cs="宋体"/>
                <w:bCs/>
                <w:color w:val="auto"/>
                <w:sz w:val="24"/>
                <w:highlight w:val="none"/>
              </w:rPr>
            </w:pPr>
            <w:r>
              <w:rPr>
                <w:rFonts w:hint="eastAsia" w:ascii="宋体" w:hAnsi="宋体" w:cs="宋体"/>
                <w:bCs/>
                <w:color w:val="auto"/>
                <w:spacing w:val="29"/>
                <w:sz w:val="24"/>
                <w:highlight w:val="none"/>
              </w:rPr>
              <w:t>（</w:t>
            </w:r>
            <w:r>
              <w:rPr>
                <w:rFonts w:hint="eastAsia" w:ascii="宋体" w:hAnsi="宋体" w:cs="宋体"/>
                <w:bCs/>
                <w:color w:val="auto"/>
                <w:spacing w:val="29"/>
                <w:sz w:val="24"/>
                <w:highlight w:val="none"/>
                <w:lang w:val="en-US" w:eastAsia="zh-CN"/>
              </w:rPr>
              <w:t>9</w:t>
            </w:r>
            <w:r>
              <w:rPr>
                <w:rFonts w:hint="eastAsia" w:ascii="宋体" w:hAnsi="宋体" w:cs="宋体"/>
                <w:bCs/>
                <w:color w:val="auto"/>
                <w:spacing w:val="29"/>
                <w:sz w:val="24"/>
                <w:highlight w:val="none"/>
              </w:rPr>
              <w:t>分）</w:t>
            </w:r>
          </w:p>
        </w:tc>
        <w:tc>
          <w:tcPr>
            <w:tcW w:w="3686" w:type="dxa"/>
            <w:noWrap w:val="0"/>
            <w:vAlign w:val="center"/>
          </w:tcPr>
          <w:p w14:paraId="651B74F7">
            <w:pPr>
              <w:shd w:val="clear" w:color="auto" w:fill="auto"/>
              <w:rPr>
                <w:rFonts w:hint="eastAsia" w:ascii="宋体" w:hAnsi="宋体" w:cs="宋体"/>
                <w:bCs/>
                <w:color w:val="auto"/>
                <w:sz w:val="24"/>
                <w:highlight w:val="none"/>
              </w:rPr>
            </w:pPr>
            <w:r>
              <w:rPr>
                <w:rFonts w:hint="eastAsia" w:ascii="宋体" w:hAnsi="宋体" w:cs="宋体"/>
                <w:bCs/>
                <w:color w:val="auto"/>
                <w:spacing w:val="-14"/>
                <w:sz w:val="24"/>
                <w:highlight w:val="none"/>
              </w:rPr>
              <w:t>方案明确详尽，具体完善，科学合理，与本项目的实</w:t>
            </w:r>
            <w:r>
              <w:rPr>
                <w:rFonts w:hint="eastAsia" w:ascii="宋体" w:hAnsi="宋体" w:cs="宋体"/>
                <w:bCs/>
                <w:color w:val="auto"/>
                <w:spacing w:val="-10"/>
                <w:sz w:val="24"/>
                <w:highlight w:val="none"/>
              </w:rPr>
              <w:t>际情</w:t>
            </w:r>
            <w:r>
              <w:rPr>
                <w:rFonts w:hint="eastAsia" w:ascii="宋体" w:hAnsi="宋体" w:cs="宋体"/>
                <w:bCs/>
                <w:color w:val="auto"/>
                <w:spacing w:val="-9"/>
                <w:sz w:val="24"/>
                <w:highlight w:val="none"/>
              </w:rPr>
              <w:t>况</w:t>
            </w:r>
            <w:r>
              <w:rPr>
                <w:rFonts w:hint="eastAsia" w:ascii="宋体" w:hAnsi="宋体" w:cs="宋体"/>
                <w:bCs/>
                <w:color w:val="auto"/>
                <w:spacing w:val="-5"/>
                <w:sz w:val="24"/>
                <w:highlight w:val="none"/>
              </w:rPr>
              <w:t>契合度高、针对性和操作性强</w:t>
            </w:r>
          </w:p>
        </w:tc>
        <w:tc>
          <w:tcPr>
            <w:tcW w:w="1869" w:type="dxa"/>
            <w:noWrap w:val="0"/>
            <w:vAlign w:val="center"/>
          </w:tcPr>
          <w:p w14:paraId="07E2D589">
            <w:pPr>
              <w:pStyle w:val="15"/>
              <w:shd w:val="clear" w:color="auto" w:fill="auto"/>
              <w:jc w:val="center"/>
              <w:rPr>
                <w:rFonts w:hint="eastAsia" w:cs="宋体"/>
                <w:bCs/>
                <w:color w:val="auto"/>
                <w:highlight w:val="none"/>
              </w:rPr>
            </w:pPr>
            <w:r>
              <w:rPr>
                <w:rFonts w:hint="eastAsia" w:cs="宋体"/>
                <w:bCs/>
                <w:color w:val="auto"/>
                <w:highlight w:val="none"/>
                <w:lang w:val="en-US" w:eastAsia="zh-CN"/>
              </w:rPr>
              <w:t>7.2</w:t>
            </w:r>
            <w:r>
              <w:rPr>
                <w:rFonts w:hint="eastAsia" w:cs="宋体"/>
                <w:bCs/>
                <w:color w:val="auto"/>
                <w:highlight w:val="none"/>
              </w:rPr>
              <w:t>-</w:t>
            </w:r>
            <w:r>
              <w:rPr>
                <w:rFonts w:hint="eastAsia" w:cs="宋体"/>
                <w:bCs/>
                <w:color w:val="auto"/>
                <w:highlight w:val="none"/>
                <w:lang w:val="en-US" w:eastAsia="zh-CN"/>
              </w:rPr>
              <w:t>9</w:t>
            </w:r>
            <w:r>
              <w:rPr>
                <w:rFonts w:cs="宋体"/>
                <w:bCs/>
                <w:color w:val="auto"/>
                <w:highlight w:val="none"/>
              </w:rPr>
              <w:t>.0</w:t>
            </w:r>
          </w:p>
        </w:tc>
      </w:tr>
      <w:tr w14:paraId="5056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1AC12363">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61D18D05">
            <w:pPr>
              <w:shd w:val="clear" w:color="auto" w:fill="auto"/>
              <w:jc w:val="center"/>
              <w:rPr>
                <w:rFonts w:hint="eastAsia" w:ascii="宋体" w:hAnsi="宋体" w:cs="宋体"/>
                <w:bCs/>
                <w:color w:val="auto"/>
                <w:sz w:val="24"/>
                <w:highlight w:val="none"/>
              </w:rPr>
            </w:pPr>
          </w:p>
        </w:tc>
        <w:tc>
          <w:tcPr>
            <w:tcW w:w="1565" w:type="dxa"/>
            <w:vMerge w:val="continue"/>
            <w:noWrap w:val="0"/>
            <w:vAlign w:val="center"/>
          </w:tcPr>
          <w:p w14:paraId="2F5506AD">
            <w:pPr>
              <w:shd w:val="clear" w:color="auto" w:fill="auto"/>
              <w:jc w:val="center"/>
              <w:rPr>
                <w:rFonts w:hint="eastAsia" w:ascii="宋体" w:hAnsi="宋体" w:cs="宋体"/>
                <w:bCs/>
                <w:color w:val="auto"/>
                <w:sz w:val="24"/>
                <w:highlight w:val="none"/>
              </w:rPr>
            </w:pPr>
          </w:p>
        </w:tc>
        <w:tc>
          <w:tcPr>
            <w:tcW w:w="3686" w:type="dxa"/>
            <w:noWrap w:val="0"/>
            <w:vAlign w:val="center"/>
          </w:tcPr>
          <w:p w14:paraId="2D9DD07D">
            <w:pPr>
              <w:shd w:val="clear" w:color="auto" w:fill="auto"/>
              <w:rPr>
                <w:rFonts w:hint="eastAsia" w:ascii="宋体" w:hAnsi="宋体" w:cs="宋体"/>
                <w:bCs/>
                <w:color w:val="auto"/>
                <w:sz w:val="24"/>
                <w:highlight w:val="none"/>
              </w:rPr>
            </w:pPr>
            <w:r>
              <w:rPr>
                <w:rFonts w:hint="eastAsia" w:ascii="宋体" w:hAnsi="宋体" w:cs="宋体"/>
                <w:bCs/>
                <w:color w:val="auto"/>
                <w:spacing w:val="-10"/>
                <w:sz w:val="24"/>
                <w:highlight w:val="none"/>
              </w:rPr>
              <w:t>方案较明确、较具体，合理可行，与本项目的实际情</w:t>
            </w:r>
            <w:r>
              <w:rPr>
                <w:rFonts w:hint="eastAsia" w:ascii="宋体" w:hAnsi="宋体" w:cs="宋体"/>
                <w:bCs/>
                <w:color w:val="auto"/>
                <w:spacing w:val="-24"/>
                <w:sz w:val="24"/>
                <w:highlight w:val="none"/>
              </w:rPr>
              <w:t>况</w:t>
            </w:r>
            <w:r>
              <w:rPr>
                <w:rFonts w:hint="eastAsia" w:ascii="宋体" w:hAnsi="宋体" w:cs="宋体"/>
                <w:bCs/>
                <w:color w:val="auto"/>
                <w:spacing w:val="-15"/>
                <w:sz w:val="24"/>
                <w:highlight w:val="none"/>
              </w:rPr>
              <w:t>契</w:t>
            </w:r>
            <w:r>
              <w:rPr>
                <w:rFonts w:hint="eastAsia" w:ascii="宋体" w:hAnsi="宋体" w:cs="宋体"/>
                <w:bCs/>
                <w:color w:val="auto"/>
                <w:spacing w:val="-12"/>
                <w:sz w:val="24"/>
                <w:highlight w:val="none"/>
              </w:rPr>
              <w:t>合度较高，可操作</w:t>
            </w:r>
          </w:p>
        </w:tc>
        <w:tc>
          <w:tcPr>
            <w:tcW w:w="1869" w:type="dxa"/>
            <w:noWrap w:val="0"/>
            <w:vAlign w:val="center"/>
          </w:tcPr>
          <w:p w14:paraId="3D3EDA02">
            <w:pPr>
              <w:pStyle w:val="15"/>
              <w:shd w:val="clear" w:color="auto" w:fill="auto"/>
              <w:jc w:val="center"/>
              <w:rPr>
                <w:rFonts w:hint="eastAsia" w:cs="宋体"/>
                <w:bCs/>
                <w:color w:val="auto"/>
                <w:highlight w:val="none"/>
              </w:rPr>
            </w:pPr>
            <w:r>
              <w:rPr>
                <w:rFonts w:hint="eastAsia" w:cs="宋体"/>
                <w:bCs/>
                <w:color w:val="auto"/>
                <w:highlight w:val="none"/>
                <w:lang w:val="en-US" w:eastAsia="zh-CN"/>
              </w:rPr>
              <w:t>5.4</w:t>
            </w:r>
            <w:r>
              <w:rPr>
                <w:rFonts w:hint="eastAsia" w:cs="宋体"/>
                <w:bCs/>
                <w:color w:val="auto"/>
                <w:highlight w:val="none"/>
              </w:rPr>
              <w:t>-</w:t>
            </w:r>
            <w:r>
              <w:rPr>
                <w:rFonts w:hint="eastAsia" w:cs="宋体"/>
                <w:bCs/>
                <w:color w:val="auto"/>
                <w:highlight w:val="none"/>
                <w:lang w:val="en-US" w:eastAsia="zh-CN"/>
              </w:rPr>
              <w:t>7.2</w:t>
            </w:r>
          </w:p>
        </w:tc>
      </w:tr>
      <w:tr w14:paraId="007C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1058F39E">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2B866D2E">
            <w:pPr>
              <w:shd w:val="clear" w:color="auto" w:fill="auto"/>
              <w:jc w:val="center"/>
              <w:rPr>
                <w:rFonts w:hint="eastAsia" w:ascii="宋体" w:hAnsi="宋体" w:cs="宋体"/>
                <w:bCs/>
                <w:color w:val="auto"/>
                <w:sz w:val="24"/>
                <w:highlight w:val="none"/>
              </w:rPr>
            </w:pPr>
          </w:p>
        </w:tc>
        <w:tc>
          <w:tcPr>
            <w:tcW w:w="1565" w:type="dxa"/>
            <w:vMerge w:val="continue"/>
            <w:noWrap w:val="0"/>
            <w:vAlign w:val="center"/>
          </w:tcPr>
          <w:p w14:paraId="7F6751C9">
            <w:pPr>
              <w:shd w:val="clear" w:color="auto" w:fill="auto"/>
              <w:jc w:val="center"/>
              <w:rPr>
                <w:rFonts w:hint="eastAsia" w:ascii="宋体" w:hAnsi="宋体" w:cs="宋体"/>
                <w:bCs/>
                <w:color w:val="auto"/>
                <w:sz w:val="24"/>
                <w:highlight w:val="none"/>
              </w:rPr>
            </w:pPr>
          </w:p>
        </w:tc>
        <w:tc>
          <w:tcPr>
            <w:tcW w:w="3686" w:type="dxa"/>
            <w:noWrap w:val="0"/>
            <w:vAlign w:val="center"/>
          </w:tcPr>
          <w:p w14:paraId="4E1B2211">
            <w:pPr>
              <w:shd w:val="clear" w:color="auto" w:fill="auto"/>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3A74C2C1">
            <w:pPr>
              <w:pStyle w:val="15"/>
              <w:shd w:val="clear" w:color="auto" w:fill="auto"/>
              <w:jc w:val="center"/>
              <w:rPr>
                <w:rFonts w:hint="eastAsia" w:ascii="宋体" w:hAnsi="宋体"/>
                <w:color w:val="auto"/>
                <w:sz w:val="24"/>
                <w:highlight w:val="none"/>
              </w:rPr>
            </w:pPr>
            <w:r>
              <w:rPr>
                <w:rFonts w:hint="eastAsia" w:cs="宋体"/>
                <w:bCs/>
                <w:color w:val="auto"/>
                <w:highlight w:val="none"/>
                <w:lang w:val="en-US" w:eastAsia="zh-CN"/>
              </w:rPr>
              <w:t>5.4</w:t>
            </w:r>
          </w:p>
        </w:tc>
      </w:tr>
      <w:tr w14:paraId="2EFC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51B81FCD">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311599B8">
            <w:pPr>
              <w:shd w:val="clear" w:color="auto" w:fill="auto"/>
              <w:jc w:val="center"/>
              <w:rPr>
                <w:rFonts w:hint="eastAsia" w:ascii="宋体" w:hAnsi="宋体" w:cs="宋体"/>
                <w:bCs/>
                <w:color w:val="auto"/>
                <w:sz w:val="24"/>
                <w:highlight w:val="none"/>
              </w:rPr>
            </w:pPr>
          </w:p>
        </w:tc>
        <w:tc>
          <w:tcPr>
            <w:tcW w:w="1565" w:type="dxa"/>
            <w:vMerge w:val="restart"/>
            <w:noWrap w:val="0"/>
            <w:vAlign w:val="center"/>
          </w:tcPr>
          <w:p w14:paraId="4CFC4E37">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保洁及绿化</w:t>
            </w:r>
          </w:p>
          <w:p w14:paraId="1588EBA9">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服务方案</w:t>
            </w:r>
          </w:p>
          <w:p w14:paraId="4036D566">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分）</w:t>
            </w:r>
          </w:p>
        </w:tc>
        <w:tc>
          <w:tcPr>
            <w:tcW w:w="3686" w:type="dxa"/>
            <w:noWrap w:val="0"/>
            <w:vAlign w:val="center"/>
          </w:tcPr>
          <w:p w14:paraId="3CE6CFA9">
            <w:pPr>
              <w:shd w:val="clear" w:color="auto" w:fill="auto"/>
              <w:rPr>
                <w:rFonts w:hint="eastAsia" w:ascii="宋体" w:hAnsi="宋体" w:cs="宋体"/>
                <w:bCs/>
                <w:color w:val="auto"/>
                <w:sz w:val="24"/>
                <w:highlight w:val="none"/>
              </w:rPr>
            </w:pPr>
            <w:r>
              <w:rPr>
                <w:rFonts w:hint="eastAsia" w:ascii="宋体" w:hAnsi="宋体" w:cs="宋体"/>
                <w:bCs/>
                <w:color w:val="auto"/>
                <w:spacing w:val="-14"/>
                <w:sz w:val="24"/>
                <w:highlight w:val="none"/>
              </w:rPr>
              <w:t>方案明确详尽，具体完善，科学合理，与本项目的实</w:t>
            </w:r>
            <w:r>
              <w:rPr>
                <w:rFonts w:hint="eastAsia" w:ascii="宋体" w:hAnsi="宋体" w:cs="宋体"/>
                <w:bCs/>
                <w:color w:val="auto"/>
                <w:spacing w:val="-10"/>
                <w:sz w:val="24"/>
                <w:highlight w:val="none"/>
              </w:rPr>
              <w:t>际情</w:t>
            </w:r>
            <w:r>
              <w:rPr>
                <w:rFonts w:hint="eastAsia" w:ascii="宋体" w:hAnsi="宋体" w:cs="宋体"/>
                <w:bCs/>
                <w:color w:val="auto"/>
                <w:spacing w:val="-9"/>
                <w:sz w:val="24"/>
                <w:highlight w:val="none"/>
              </w:rPr>
              <w:t>况</w:t>
            </w:r>
            <w:r>
              <w:rPr>
                <w:rFonts w:hint="eastAsia" w:ascii="宋体" w:hAnsi="宋体" w:cs="宋体"/>
                <w:bCs/>
                <w:color w:val="auto"/>
                <w:spacing w:val="-5"/>
                <w:sz w:val="24"/>
                <w:highlight w:val="none"/>
              </w:rPr>
              <w:t>契合度高、针对性和操作性强</w:t>
            </w:r>
          </w:p>
        </w:tc>
        <w:tc>
          <w:tcPr>
            <w:tcW w:w="1869" w:type="dxa"/>
            <w:noWrap w:val="0"/>
            <w:vAlign w:val="center"/>
          </w:tcPr>
          <w:p w14:paraId="3FB47E73">
            <w:pPr>
              <w:pStyle w:val="15"/>
              <w:shd w:val="clear" w:color="auto" w:fill="auto"/>
              <w:jc w:val="center"/>
              <w:rPr>
                <w:rFonts w:hint="eastAsia" w:cs="宋体"/>
                <w:bCs/>
                <w:color w:val="auto"/>
                <w:highlight w:val="none"/>
              </w:rPr>
            </w:pPr>
            <w:r>
              <w:rPr>
                <w:rFonts w:hint="eastAsia" w:cs="宋体"/>
                <w:bCs/>
                <w:color w:val="auto"/>
                <w:highlight w:val="none"/>
                <w:lang w:val="en-US" w:eastAsia="zh-CN"/>
              </w:rPr>
              <w:t>7.2</w:t>
            </w:r>
            <w:r>
              <w:rPr>
                <w:rFonts w:hint="eastAsia" w:cs="宋体"/>
                <w:bCs/>
                <w:color w:val="auto"/>
                <w:highlight w:val="none"/>
              </w:rPr>
              <w:t>-</w:t>
            </w:r>
            <w:r>
              <w:rPr>
                <w:rFonts w:hint="eastAsia" w:cs="宋体"/>
                <w:bCs/>
                <w:color w:val="auto"/>
                <w:highlight w:val="none"/>
                <w:lang w:val="en-US" w:eastAsia="zh-CN"/>
              </w:rPr>
              <w:t>9</w:t>
            </w:r>
            <w:r>
              <w:rPr>
                <w:rFonts w:cs="宋体"/>
                <w:bCs/>
                <w:color w:val="auto"/>
                <w:highlight w:val="none"/>
              </w:rPr>
              <w:t>.0</w:t>
            </w:r>
          </w:p>
        </w:tc>
      </w:tr>
      <w:tr w14:paraId="61DA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75B9D28F">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1F0166B8">
            <w:pPr>
              <w:shd w:val="clear" w:color="auto" w:fill="auto"/>
              <w:jc w:val="center"/>
              <w:rPr>
                <w:rFonts w:hint="eastAsia" w:ascii="宋体" w:hAnsi="宋体" w:cs="宋体"/>
                <w:bCs/>
                <w:color w:val="auto"/>
                <w:sz w:val="24"/>
                <w:highlight w:val="none"/>
              </w:rPr>
            </w:pPr>
          </w:p>
        </w:tc>
        <w:tc>
          <w:tcPr>
            <w:tcW w:w="1565" w:type="dxa"/>
            <w:vMerge w:val="continue"/>
            <w:noWrap w:val="0"/>
            <w:vAlign w:val="center"/>
          </w:tcPr>
          <w:p w14:paraId="14666C9A">
            <w:pPr>
              <w:shd w:val="clear" w:color="auto" w:fill="auto"/>
              <w:jc w:val="center"/>
              <w:rPr>
                <w:rFonts w:hint="eastAsia" w:ascii="宋体" w:hAnsi="宋体" w:cs="宋体"/>
                <w:bCs/>
                <w:color w:val="auto"/>
                <w:sz w:val="24"/>
                <w:highlight w:val="none"/>
              </w:rPr>
            </w:pPr>
          </w:p>
        </w:tc>
        <w:tc>
          <w:tcPr>
            <w:tcW w:w="3686" w:type="dxa"/>
            <w:noWrap w:val="0"/>
            <w:vAlign w:val="center"/>
          </w:tcPr>
          <w:p w14:paraId="25228042">
            <w:pPr>
              <w:shd w:val="clear" w:color="auto" w:fill="auto"/>
              <w:rPr>
                <w:rFonts w:hint="eastAsia" w:ascii="宋体" w:hAnsi="宋体" w:cs="宋体"/>
                <w:bCs/>
                <w:color w:val="auto"/>
                <w:sz w:val="24"/>
                <w:highlight w:val="none"/>
              </w:rPr>
            </w:pPr>
            <w:r>
              <w:rPr>
                <w:rFonts w:hint="eastAsia" w:ascii="宋体" w:hAnsi="宋体" w:cs="宋体"/>
                <w:bCs/>
                <w:color w:val="auto"/>
                <w:spacing w:val="-10"/>
                <w:sz w:val="24"/>
                <w:highlight w:val="none"/>
              </w:rPr>
              <w:t>方案较明确、较具体，合理可行，与本项目的实际情</w:t>
            </w:r>
            <w:r>
              <w:rPr>
                <w:rFonts w:hint="eastAsia" w:ascii="宋体" w:hAnsi="宋体" w:cs="宋体"/>
                <w:bCs/>
                <w:color w:val="auto"/>
                <w:spacing w:val="-24"/>
                <w:sz w:val="24"/>
                <w:highlight w:val="none"/>
              </w:rPr>
              <w:t>况</w:t>
            </w:r>
            <w:r>
              <w:rPr>
                <w:rFonts w:hint="eastAsia" w:ascii="宋体" w:hAnsi="宋体" w:cs="宋体"/>
                <w:bCs/>
                <w:color w:val="auto"/>
                <w:spacing w:val="-15"/>
                <w:sz w:val="24"/>
                <w:highlight w:val="none"/>
              </w:rPr>
              <w:t>契</w:t>
            </w:r>
            <w:r>
              <w:rPr>
                <w:rFonts w:hint="eastAsia" w:ascii="宋体" w:hAnsi="宋体" w:cs="宋体"/>
                <w:bCs/>
                <w:color w:val="auto"/>
                <w:spacing w:val="-12"/>
                <w:sz w:val="24"/>
                <w:highlight w:val="none"/>
              </w:rPr>
              <w:t>合度较高，可操作</w:t>
            </w:r>
          </w:p>
        </w:tc>
        <w:tc>
          <w:tcPr>
            <w:tcW w:w="1869" w:type="dxa"/>
            <w:noWrap w:val="0"/>
            <w:vAlign w:val="center"/>
          </w:tcPr>
          <w:p w14:paraId="7F343162">
            <w:pPr>
              <w:pStyle w:val="15"/>
              <w:shd w:val="clear" w:color="auto" w:fill="auto"/>
              <w:jc w:val="center"/>
              <w:rPr>
                <w:rFonts w:hint="eastAsia" w:cs="宋体"/>
                <w:bCs/>
                <w:color w:val="auto"/>
                <w:highlight w:val="none"/>
              </w:rPr>
            </w:pPr>
            <w:r>
              <w:rPr>
                <w:rFonts w:hint="eastAsia" w:cs="宋体"/>
                <w:bCs/>
                <w:color w:val="auto"/>
                <w:highlight w:val="none"/>
                <w:lang w:val="en-US" w:eastAsia="zh-CN"/>
              </w:rPr>
              <w:t>5.4</w:t>
            </w:r>
            <w:r>
              <w:rPr>
                <w:rFonts w:hint="eastAsia" w:cs="宋体"/>
                <w:bCs/>
                <w:color w:val="auto"/>
                <w:highlight w:val="none"/>
              </w:rPr>
              <w:t>-</w:t>
            </w:r>
            <w:r>
              <w:rPr>
                <w:rFonts w:hint="eastAsia" w:cs="宋体"/>
                <w:bCs/>
                <w:color w:val="auto"/>
                <w:highlight w:val="none"/>
                <w:lang w:val="en-US" w:eastAsia="zh-CN"/>
              </w:rPr>
              <w:t>7.2</w:t>
            </w:r>
          </w:p>
        </w:tc>
      </w:tr>
      <w:tr w14:paraId="7FDD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52ACD7BE">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36CF9985">
            <w:pPr>
              <w:shd w:val="clear" w:color="auto" w:fill="auto"/>
              <w:jc w:val="center"/>
              <w:rPr>
                <w:rFonts w:hint="eastAsia" w:ascii="宋体" w:hAnsi="宋体" w:cs="宋体"/>
                <w:bCs/>
                <w:color w:val="auto"/>
                <w:sz w:val="24"/>
                <w:highlight w:val="none"/>
              </w:rPr>
            </w:pPr>
          </w:p>
        </w:tc>
        <w:tc>
          <w:tcPr>
            <w:tcW w:w="1565" w:type="dxa"/>
            <w:vMerge w:val="continue"/>
            <w:noWrap w:val="0"/>
            <w:vAlign w:val="center"/>
          </w:tcPr>
          <w:p w14:paraId="2A495CCB">
            <w:pPr>
              <w:shd w:val="clear" w:color="auto" w:fill="auto"/>
              <w:jc w:val="center"/>
              <w:rPr>
                <w:rFonts w:hint="eastAsia" w:ascii="宋体" w:hAnsi="宋体" w:cs="宋体"/>
                <w:bCs/>
                <w:color w:val="auto"/>
                <w:sz w:val="24"/>
                <w:highlight w:val="none"/>
              </w:rPr>
            </w:pPr>
          </w:p>
        </w:tc>
        <w:tc>
          <w:tcPr>
            <w:tcW w:w="3686" w:type="dxa"/>
            <w:noWrap w:val="0"/>
            <w:vAlign w:val="center"/>
          </w:tcPr>
          <w:p w14:paraId="147A7BC5">
            <w:pPr>
              <w:shd w:val="clear" w:color="auto" w:fill="auto"/>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23F02E4B">
            <w:pPr>
              <w:pStyle w:val="15"/>
              <w:shd w:val="clear" w:color="auto" w:fill="auto"/>
              <w:jc w:val="center"/>
              <w:rPr>
                <w:rFonts w:hint="eastAsia" w:cs="宋体"/>
                <w:bCs/>
                <w:color w:val="auto"/>
                <w:highlight w:val="none"/>
              </w:rPr>
            </w:pPr>
            <w:r>
              <w:rPr>
                <w:rFonts w:hint="eastAsia" w:cs="宋体"/>
                <w:bCs/>
                <w:color w:val="auto"/>
                <w:highlight w:val="none"/>
                <w:lang w:val="en-US" w:eastAsia="zh-CN"/>
              </w:rPr>
              <w:t>5.4</w:t>
            </w:r>
          </w:p>
        </w:tc>
      </w:tr>
      <w:tr w14:paraId="461D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0AFB1F1E">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6DEA5BAA">
            <w:pPr>
              <w:shd w:val="clear" w:color="auto" w:fill="auto"/>
              <w:jc w:val="center"/>
              <w:rPr>
                <w:rFonts w:hint="eastAsia" w:ascii="宋体" w:hAnsi="宋体" w:cs="宋体"/>
                <w:bCs/>
                <w:color w:val="auto"/>
                <w:sz w:val="24"/>
                <w:highlight w:val="none"/>
              </w:rPr>
            </w:pPr>
          </w:p>
        </w:tc>
        <w:tc>
          <w:tcPr>
            <w:tcW w:w="1565" w:type="dxa"/>
            <w:vMerge w:val="restart"/>
            <w:noWrap w:val="0"/>
            <w:vAlign w:val="center"/>
          </w:tcPr>
          <w:p w14:paraId="4AC7A307">
            <w:pPr>
              <w:shd w:val="clear" w:color="auto" w:fill="auto"/>
              <w:jc w:val="center"/>
              <w:rPr>
                <w:rFonts w:ascii="宋体" w:hAnsi="宋体" w:cs="宋体"/>
                <w:bCs/>
                <w:color w:val="auto"/>
                <w:sz w:val="24"/>
                <w:highlight w:val="none"/>
              </w:rPr>
            </w:pPr>
            <w:r>
              <w:rPr>
                <w:rFonts w:hint="eastAsia" w:ascii="宋体" w:hAnsi="宋体" w:cs="宋体"/>
                <w:bCs/>
                <w:color w:val="auto"/>
                <w:sz w:val="24"/>
                <w:highlight w:val="none"/>
              </w:rPr>
              <w:t>秩序维护</w:t>
            </w:r>
          </w:p>
          <w:p w14:paraId="31C11311">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服务方案</w:t>
            </w:r>
          </w:p>
          <w:p w14:paraId="02CB353B">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分）</w:t>
            </w:r>
          </w:p>
        </w:tc>
        <w:tc>
          <w:tcPr>
            <w:tcW w:w="3686" w:type="dxa"/>
            <w:noWrap w:val="0"/>
            <w:vAlign w:val="center"/>
          </w:tcPr>
          <w:p w14:paraId="41CB079C">
            <w:pPr>
              <w:shd w:val="clear" w:color="auto" w:fill="auto"/>
              <w:rPr>
                <w:rFonts w:hint="eastAsia" w:ascii="宋体" w:hAnsi="宋体" w:cs="宋体"/>
                <w:bCs/>
                <w:color w:val="auto"/>
                <w:sz w:val="24"/>
                <w:highlight w:val="none"/>
              </w:rPr>
            </w:pPr>
            <w:r>
              <w:rPr>
                <w:rFonts w:hint="eastAsia" w:ascii="宋体" w:hAnsi="宋体" w:cs="宋体"/>
                <w:bCs/>
                <w:color w:val="auto"/>
                <w:spacing w:val="-14"/>
                <w:sz w:val="24"/>
                <w:highlight w:val="none"/>
              </w:rPr>
              <w:t>方案明确详尽，具体完善，科学合理</w:t>
            </w:r>
            <w:r>
              <w:rPr>
                <w:rFonts w:hint="eastAsia" w:ascii="宋体" w:hAnsi="宋体" w:cs="宋体"/>
                <w:bCs/>
                <w:color w:val="auto"/>
                <w:spacing w:val="-14"/>
                <w:sz w:val="24"/>
                <w:highlight w:val="none"/>
                <w:lang w:eastAsia="zh-CN"/>
              </w:rPr>
              <w:t>，</w:t>
            </w:r>
            <w:r>
              <w:rPr>
                <w:rFonts w:hint="eastAsia" w:ascii="宋体" w:hAnsi="宋体" w:cs="宋体"/>
                <w:bCs/>
                <w:color w:val="auto"/>
                <w:spacing w:val="-14"/>
                <w:sz w:val="24"/>
                <w:highlight w:val="none"/>
              </w:rPr>
              <w:t>与本项目的实</w:t>
            </w:r>
            <w:r>
              <w:rPr>
                <w:rFonts w:hint="eastAsia" w:ascii="宋体" w:hAnsi="宋体" w:cs="宋体"/>
                <w:bCs/>
                <w:color w:val="auto"/>
                <w:spacing w:val="-10"/>
                <w:sz w:val="24"/>
                <w:highlight w:val="none"/>
              </w:rPr>
              <w:t>际情</w:t>
            </w:r>
            <w:r>
              <w:rPr>
                <w:rFonts w:hint="eastAsia" w:ascii="宋体" w:hAnsi="宋体" w:cs="宋体"/>
                <w:bCs/>
                <w:color w:val="auto"/>
                <w:spacing w:val="-9"/>
                <w:sz w:val="24"/>
                <w:highlight w:val="none"/>
              </w:rPr>
              <w:t>况</w:t>
            </w:r>
            <w:r>
              <w:rPr>
                <w:rFonts w:hint="eastAsia" w:ascii="宋体" w:hAnsi="宋体" w:cs="宋体"/>
                <w:bCs/>
                <w:color w:val="auto"/>
                <w:spacing w:val="-5"/>
                <w:sz w:val="24"/>
                <w:highlight w:val="none"/>
              </w:rPr>
              <w:t>契合度高、针对性和操作性强</w:t>
            </w:r>
          </w:p>
        </w:tc>
        <w:tc>
          <w:tcPr>
            <w:tcW w:w="1869" w:type="dxa"/>
            <w:noWrap w:val="0"/>
            <w:vAlign w:val="center"/>
          </w:tcPr>
          <w:p w14:paraId="4C19B915">
            <w:pPr>
              <w:pStyle w:val="15"/>
              <w:shd w:val="clear" w:color="auto" w:fill="auto"/>
              <w:jc w:val="center"/>
              <w:rPr>
                <w:rFonts w:hint="eastAsia" w:cs="宋体"/>
                <w:bCs/>
                <w:color w:val="auto"/>
                <w:highlight w:val="none"/>
              </w:rPr>
            </w:pPr>
            <w:r>
              <w:rPr>
                <w:rFonts w:hint="eastAsia" w:cs="宋体"/>
                <w:bCs/>
                <w:color w:val="auto"/>
                <w:highlight w:val="none"/>
                <w:lang w:val="en-US" w:eastAsia="zh-CN"/>
              </w:rPr>
              <w:t>7.2</w:t>
            </w:r>
            <w:r>
              <w:rPr>
                <w:rFonts w:hint="eastAsia" w:cs="宋体"/>
                <w:bCs/>
                <w:color w:val="auto"/>
                <w:highlight w:val="none"/>
              </w:rPr>
              <w:t>-</w:t>
            </w:r>
            <w:r>
              <w:rPr>
                <w:rFonts w:hint="eastAsia" w:cs="宋体"/>
                <w:bCs/>
                <w:color w:val="auto"/>
                <w:highlight w:val="none"/>
                <w:lang w:val="en-US" w:eastAsia="zh-CN"/>
              </w:rPr>
              <w:t>9</w:t>
            </w:r>
            <w:r>
              <w:rPr>
                <w:rFonts w:cs="宋体"/>
                <w:bCs/>
                <w:color w:val="auto"/>
                <w:highlight w:val="none"/>
              </w:rPr>
              <w:t>.0</w:t>
            </w:r>
          </w:p>
        </w:tc>
      </w:tr>
      <w:tr w14:paraId="0CD0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213C3673">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3497ECF0">
            <w:pPr>
              <w:shd w:val="clear" w:color="auto" w:fill="auto"/>
              <w:jc w:val="center"/>
              <w:rPr>
                <w:rFonts w:hint="eastAsia" w:ascii="宋体" w:hAnsi="宋体" w:cs="宋体"/>
                <w:bCs/>
                <w:color w:val="auto"/>
                <w:sz w:val="24"/>
                <w:highlight w:val="none"/>
              </w:rPr>
            </w:pPr>
          </w:p>
        </w:tc>
        <w:tc>
          <w:tcPr>
            <w:tcW w:w="1565" w:type="dxa"/>
            <w:vMerge w:val="continue"/>
            <w:noWrap w:val="0"/>
            <w:vAlign w:val="center"/>
          </w:tcPr>
          <w:p w14:paraId="64ADF08D">
            <w:pPr>
              <w:shd w:val="clear" w:color="auto" w:fill="auto"/>
              <w:jc w:val="center"/>
              <w:rPr>
                <w:rFonts w:hint="eastAsia" w:ascii="宋体" w:hAnsi="宋体" w:cs="宋体"/>
                <w:bCs/>
                <w:color w:val="auto"/>
                <w:sz w:val="24"/>
                <w:highlight w:val="none"/>
              </w:rPr>
            </w:pPr>
          </w:p>
        </w:tc>
        <w:tc>
          <w:tcPr>
            <w:tcW w:w="3686" w:type="dxa"/>
            <w:noWrap w:val="0"/>
            <w:vAlign w:val="center"/>
          </w:tcPr>
          <w:p w14:paraId="1C325D36">
            <w:pPr>
              <w:shd w:val="clear" w:color="auto" w:fill="auto"/>
              <w:rPr>
                <w:rFonts w:hint="eastAsia" w:ascii="宋体" w:hAnsi="宋体" w:cs="宋体"/>
                <w:bCs/>
                <w:color w:val="auto"/>
                <w:sz w:val="24"/>
                <w:highlight w:val="none"/>
              </w:rPr>
            </w:pPr>
            <w:r>
              <w:rPr>
                <w:rFonts w:hint="eastAsia" w:ascii="宋体" w:hAnsi="宋体" w:cs="宋体"/>
                <w:bCs/>
                <w:color w:val="auto"/>
                <w:spacing w:val="-10"/>
                <w:sz w:val="24"/>
                <w:highlight w:val="none"/>
              </w:rPr>
              <w:t>方案较明确、较具体，合理可行，与本项目的实际情</w:t>
            </w:r>
            <w:r>
              <w:rPr>
                <w:rFonts w:hint="eastAsia" w:ascii="宋体" w:hAnsi="宋体" w:cs="宋体"/>
                <w:bCs/>
                <w:color w:val="auto"/>
                <w:spacing w:val="-24"/>
                <w:sz w:val="24"/>
                <w:highlight w:val="none"/>
              </w:rPr>
              <w:t>况</w:t>
            </w:r>
            <w:r>
              <w:rPr>
                <w:rFonts w:hint="eastAsia" w:ascii="宋体" w:hAnsi="宋体" w:cs="宋体"/>
                <w:bCs/>
                <w:color w:val="auto"/>
                <w:spacing w:val="-15"/>
                <w:sz w:val="24"/>
                <w:highlight w:val="none"/>
              </w:rPr>
              <w:t>契</w:t>
            </w:r>
            <w:r>
              <w:rPr>
                <w:rFonts w:hint="eastAsia" w:ascii="宋体" w:hAnsi="宋体" w:cs="宋体"/>
                <w:bCs/>
                <w:color w:val="auto"/>
                <w:spacing w:val="-12"/>
                <w:sz w:val="24"/>
                <w:highlight w:val="none"/>
              </w:rPr>
              <w:t>合度较高，可操作</w:t>
            </w:r>
          </w:p>
        </w:tc>
        <w:tc>
          <w:tcPr>
            <w:tcW w:w="1869" w:type="dxa"/>
            <w:noWrap w:val="0"/>
            <w:vAlign w:val="center"/>
          </w:tcPr>
          <w:p w14:paraId="799F4838">
            <w:pPr>
              <w:pStyle w:val="15"/>
              <w:shd w:val="clear" w:color="auto" w:fill="auto"/>
              <w:jc w:val="center"/>
              <w:rPr>
                <w:rFonts w:hint="eastAsia" w:cs="宋体"/>
                <w:bCs/>
                <w:color w:val="auto"/>
                <w:highlight w:val="none"/>
              </w:rPr>
            </w:pPr>
            <w:r>
              <w:rPr>
                <w:rFonts w:hint="eastAsia" w:cs="宋体"/>
                <w:bCs/>
                <w:color w:val="auto"/>
                <w:highlight w:val="none"/>
                <w:lang w:val="en-US" w:eastAsia="zh-CN"/>
              </w:rPr>
              <w:t>5.4</w:t>
            </w:r>
            <w:r>
              <w:rPr>
                <w:rFonts w:hint="eastAsia" w:cs="宋体"/>
                <w:bCs/>
                <w:color w:val="auto"/>
                <w:highlight w:val="none"/>
              </w:rPr>
              <w:t>-</w:t>
            </w:r>
            <w:r>
              <w:rPr>
                <w:rFonts w:hint="eastAsia" w:cs="宋体"/>
                <w:bCs/>
                <w:color w:val="auto"/>
                <w:highlight w:val="none"/>
                <w:lang w:val="en-US" w:eastAsia="zh-CN"/>
              </w:rPr>
              <w:t>7.2</w:t>
            </w:r>
          </w:p>
        </w:tc>
      </w:tr>
      <w:tr w14:paraId="1130D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1817D525">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430E7636">
            <w:pPr>
              <w:shd w:val="clear" w:color="auto" w:fill="auto"/>
              <w:jc w:val="center"/>
              <w:rPr>
                <w:rFonts w:hint="eastAsia" w:ascii="宋体" w:hAnsi="宋体" w:cs="宋体"/>
                <w:bCs/>
                <w:color w:val="auto"/>
                <w:sz w:val="24"/>
                <w:highlight w:val="none"/>
              </w:rPr>
            </w:pPr>
          </w:p>
        </w:tc>
        <w:tc>
          <w:tcPr>
            <w:tcW w:w="1565" w:type="dxa"/>
            <w:vMerge w:val="continue"/>
            <w:noWrap w:val="0"/>
            <w:vAlign w:val="center"/>
          </w:tcPr>
          <w:p w14:paraId="094B5B6E">
            <w:pPr>
              <w:shd w:val="clear" w:color="auto" w:fill="auto"/>
              <w:jc w:val="center"/>
              <w:rPr>
                <w:rFonts w:hint="eastAsia" w:ascii="宋体" w:hAnsi="宋体" w:cs="宋体"/>
                <w:bCs/>
                <w:color w:val="auto"/>
                <w:sz w:val="24"/>
                <w:highlight w:val="none"/>
              </w:rPr>
            </w:pPr>
          </w:p>
        </w:tc>
        <w:tc>
          <w:tcPr>
            <w:tcW w:w="3686" w:type="dxa"/>
            <w:noWrap w:val="0"/>
            <w:vAlign w:val="center"/>
          </w:tcPr>
          <w:p w14:paraId="657591FA">
            <w:pPr>
              <w:shd w:val="clear" w:color="auto" w:fill="auto"/>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0DFCDAA3">
            <w:pPr>
              <w:pStyle w:val="15"/>
              <w:shd w:val="clear" w:color="auto" w:fill="auto"/>
              <w:jc w:val="center"/>
              <w:rPr>
                <w:rFonts w:hint="eastAsia" w:cs="宋体"/>
                <w:bCs/>
                <w:color w:val="auto"/>
                <w:highlight w:val="none"/>
              </w:rPr>
            </w:pPr>
            <w:r>
              <w:rPr>
                <w:rFonts w:hint="eastAsia" w:cs="宋体"/>
                <w:bCs/>
                <w:color w:val="auto"/>
                <w:highlight w:val="none"/>
                <w:lang w:val="en-US" w:eastAsia="zh-CN"/>
              </w:rPr>
              <w:t>5.4</w:t>
            </w:r>
          </w:p>
        </w:tc>
      </w:tr>
      <w:tr w14:paraId="45C2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6B5CFB36">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7D4616F9">
            <w:pPr>
              <w:shd w:val="clear" w:color="auto" w:fill="auto"/>
              <w:jc w:val="center"/>
              <w:rPr>
                <w:rFonts w:hint="eastAsia" w:ascii="宋体" w:hAnsi="宋体" w:cs="宋体"/>
                <w:bCs/>
                <w:color w:val="auto"/>
                <w:sz w:val="24"/>
                <w:highlight w:val="none"/>
              </w:rPr>
            </w:pPr>
          </w:p>
        </w:tc>
        <w:tc>
          <w:tcPr>
            <w:tcW w:w="1565" w:type="dxa"/>
            <w:vMerge w:val="restart"/>
            <w:noWrap w:val="0"/>
            <w:vAlign w:val="center"/>
          </w:tcPr>
          <w:p w14:paraId="0049490E">
            <w:pPr>
              <w:shd w:val="clear" w:color="auto" w:fill="auto"/>
              <w:jc w:val="center"/>
              <w:rPr>
                <w:rFonts w:ascii="宋体" w:hAnsi="宋体" w:cs="宋体"/>
                <w:bCs/>
                <w:color w:val="auto"/>
                <w:sz w:val="24"/>
                <w:highlight w:val="none"/>
              </w:rPr>
            </w:pPr>
            <w:r>
              <w:rPr>
                <w:rFonts w:hint="eastAsia" w:ascii="宋体" w:hAnsi="宋体" w:cs="宋体"/>
                <w:bCs/>
                <w:color w:val="auto"/>
                <w:sz w:val="24"/>
                <w:highlight w:val="none"/>
              </w:rPr>
              <w:t>设备维保、</w:t>
            </w:r>
          </w:p>
          <w:p w14:paraId="2D87B14D">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检修及保障服务方案</w:t>
            </w:r>
          </w:p>
          <w:p w14:paraId="6293B817">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分）</w:t>
            </w:r>
          </w:p>
        </w:tc>
        <w:tc>
          <w:tcPr>
            <w:tcW w:w="3686" w:type="dxa"/>
            <w:noWrap w:val="0"/>
            <w:vAlign w:val="center"/>
          </w:tcPr>
          <w:p w14:paraId="068BAF23">
            <w:pPr>
              <w:shd w:val="clear" w:color="auto" w:fill="auto"/>
              <w:rPr>
                <w:rFonts w:hint="eastAsia" w:ascii="宋体" w:hAnsi="宋体" w:cs="宋体"/>
                <w:bCs/>
                <w:color w:val="auto"/>
                <w:sz w:val="24"/>
                <w:highlight w:val="none"/>
              </w:rPr>
            </w:pPr>
            <w:r>
              <w:rPr>
                <w:rFonts w:hint="eastAsia" w:ascii="宋体" w:hAnsi="宋体" w:cs="宋体"/>
                <w:bCs/>
                <w:color w:val="auto"/>
                <w:spacing w:val="-14"/>
                <w:sz w:val="24"/>
                <w:highlight w:val="none"/>
              </w:rPr>
              <w:t>方案明确详尽，具体完善，科学合理，与本项目的实</w:t>
            </w:r>
            <w:r>
              <w:rPr>
                <w:rFonts w:hint="eastAsia" w:ascii="宋体" w:hAnsi="宋体" w:cs="宋体"/>
                <w:bCs/>
                <w:color w:val="auto"/>
                <w:spacing w:val="-10"/>
                <w:sz w:val="24"/>
                <w:highlight w:val="none"/>
              </w:rPr>
              <w:t>际情</w:t>
            </w:r>
            <w:r>
              <w:rPr>
                <w:rFonts w:hint="eastAsia" w:ascii="宋体" w:hAnsi="宋体" w:cs="宋体"/>
                <w:bCs/>
                <w:color w:val="auto"/>
                <w:spacing w:val="-9"/>
                <w:sz w:val="24"/>
                <w:highlight w:val="none"/>
              </w:rPr>
              <w:t>况</w:t>
            </w:r>
            <w:r>
              <w:rPr>
                <w:rFonts w:hint="eastAsia" w:ascii="宋体" w:hAnsi="宋体" w:cs="宋体"/>
                <w:bCs/>
                <w:color w:val="auto"/>
                <w:spacing w:val="-5"/>
                <w:sz w:val="24"/>
                <w:highlight w:val="none"/>
              </w:rPr>
              <w:t>契合度高、针对性和操作性强</w:t>
            </w:r>
          </w:p>
        </w:tc>
        <w:tc>
          <w:tcPr>
            <w:tcW w:w="1869" w:type="dxa"/>
            <w:noWrap w:val="0"/>
            <w:vAlign w:val="center"/>
          </w:tcPr>
          <w:p w14:paraId="40E8CBF0">
            <w:pPr>
              <w:pStyle w:val="15"/>
              <w:shd w:val="clear" w:color="auto" w:fill="auto"/>
              <w:jc w:val="center"/>
              <w:rPr>
                <w:rFonts w:hint="eastAsia" w:cs="宋体"/>
                <w:bCs/>
                <w:color w:val="auto"/>
                <w:highlight w:val="none"/>
              </w:rPr>
            </w:pPr>
            <w:r>
              <w:rPr>
                <w:rFonts w:hint="eastAsia" w:cs="宋体"/>
                <w:bCs/>
                <w:color w:val="auto"/>
                <w:highlight w:val="none"/>
                <w:lang w:val="en-US" w:eastAsia="zh-CN"/>
              </w:rPr>
              <w:t>7.2</w:t>
            </w:r>
            <w:r>
              <w:rPr>
                <w:rFonts w:hint="eastAsia" w:cs="宋体"/>
                <w:bCs/>
                <w:color w:val="auto"/>
                <w:highlight w:val="none"/>
              </w:rPr>
              <w:t>-</w:t>
            </w:r>
            <w:r>
              <w:rPr>
                <w:rFonts w:hint="eastAsia" w:cs="宋体"/>
                <w:bCs/>
                <w:color w:val="auto"/>
                <w:highlight w:val="none"/>
                <w:lang w:val="en-US" w:eastAsia="zh-CN"/>
              </w:rPr>
              <w:t>9</w:t>
            </w:r>
            <w:r>
              <w:rPr>
                <w:rFonts w:cs="宋体"/>
                <w:bCs/>
                <w:color w:val="auto"/>
                <w:highlight w:val="none"/>
              </w:rPr>
              <w:t>.0</w:t>
            </w:r>
          </w:p>
        </w:tc>
      </w:tr>
      <w:tr w14:paraId="0C2E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346FDCC5">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47F438F4">
            <w:pPr>
              <w:shd w:val="clear" w:color="auto" w:fill="auto"/>
              <w:jc w:val="center"/>
              <w:rPr>
                <w:rFonts w:hint="eastAsia" w:ascii="宋体" w:hAnsi="宋体" w:cs="宋体"/>
                <w:bCs/>
                <w:color w:val="auto"/>
                <w:sz w:val="24"/>
                <w:highlight w:val="none"/>
              </w:rPr>
            </w:pPr>
          </w:p>
        </w:tc>
        <w:tc>
          <w:tcPr>
            <w:tcW w:w="1565" w:type="dxa"/>
            <w:vMerge w:val="continue"/>
            <w:noWrap w:val="0"/>
            <w:vAlign w:val="center"/>
          </w:tcPr>
          <w:p w14:paraId="7D3D370E">
            <w:pPr>
              <w:shd w:val="clear" w:color="auto" w:fill="auto"/>
              <w:jc w:val="center"/>
              <w:rPr>
                <w:rFonts w:hint="eastAsia" w:ascii="宋体" w:hAnsi="宋体" w:cs="宋体"/>
                <w:bCs/>
                <w:color w:val="auto"/>
                <w:sz w:val="24"/>
                <w:highlight w:val="none"/>
              </w:rPr>
            </w:pPr>
          </w:p>
        </w:tc>
        <w:tc>
          <w:tcPr>
            <w:tcW w:w="3686" w:type="dxa"/>
            <w:noWrap w:val="0"/>
            <w:vAlign w:val="center"/>
          </w:tcPr>
          <w:p w14:paraId="2CDD44C3">
            <w:pPr>
              <w:shd w:val="clear" w:color="auto" w:fill="auto"/>
              <w:rPr>
                <w:rFonts w:hint="eastAsia" w:ascii="宋体" w:hAnsi="宋体" w:cs="宋体"/>
                <w:bCs/>
                <w:color w:val="auto"/>
                <w:sz w:val="24"/>
                <w:highlight w:val="none"/>
              </w:rPr>
            </w:pPr>
            <w:r>
              <w:rPr>
                <w:rFonts w:hint="eastAsia" w:ascii="宋体" w:hAnsi="宋体" w:cs="宋体"/>
                <w:bCs/>
                <w:color w:val="auto"/>
                <w:spacing w:val="-10"/>
                <w:sz w:val="24"/>
                <w:highlight w:val="none"/>
              </w:rPr>
              <w:t>方案较明确、较具体，合理可行，与本项目的实际情</w:t>
            </w:r>
            <w:r>
              <w:rPr>
                <w:rFonts w:hint="eastAsia" w:ascii="宋体" w:hAnsi="宋体" w:cs="宋体"/>
                <w:bCs/>
                <w:color w:val="auto"/>
                <w:spacing w:val="-24"/>
                <w:sz w:val="24"/>
                <w:highlight w:val="none"/>
              </w:rPr>
              <w:t>况</w:t>
            </w:r>
            <w:r>
              <w:rPr>
                <w:rFonts w:hint="eastAsia" w:ascii="宋体" w:hAnsi="宋体" w:cs="宋体"/>
                <w:bCs/>
                <w:color w:val="auto"/>
                <w:spacing w:val="-15"/>
                <w:sz w:val="24"/>
                <w:highlight w:val="none"/>
              </w:rPr>
              <w:t>契</w:t>
            </w:r>
            <w:r>
              <w:rPr>
                <w:rFonts w:hint="eastAsia" w:ascii="宋体" w:hAnsi="宋体" w:cs="宋体"/>
                <w:bCs/>
                <w:color w:val="auto"/>
                <w:spacing w:val="-12"/>
                <w:sz w:val="24"/>
                <w:highlight w:val="none"/>
              </w:rPr>
              <w:t>合度较高，可操作</w:t>
            </w:r>
          </w:p>
        </w:tc>
        <w:tc>
          <w:tcPr>
            <w:tcW w:w="1869" w:type="dxa"/>
            <w:noWrap w:val="0"/>
            <w:vAlign w:val="center"/>
          </w:tcPr>
          <w:p w14:paraId="0F0C59D8">
            <w:pPr>
              <w:pStyle w:val="15"/>
              <w:shd w:val="clear" w:color="auto" w:fill="auto"/>
              <w:jc w:val="center"/>
              <w:rPr>
                <w:rFonts w:hint="eastAsia" w:cs="宋体"/>
                <w:bCs/>
                <w:color w:val="auto"/>
                <w:highlight w:val="none"/>
              </w:rPr>
            </w:pPr>
            <w:r>
              <w:rPr>
                <w:rFonts w:hint="eastAsia" w:cs="宋体"/>
                <w:bCs/>
                <w:color w:val="auto"/>
                <w:highlight w:val="none"/>
                <w:lang w:val="en-US" w:eastAsia="zh-CN"/>
              </w:rPr>
              <w:t>5.4</w:t>
            </w:r>
            <w:r>
              <w:rPr>
                <w:rFonts w:hint="eastAsia" w:cs="宋体"/>
                <w:bCs/>
                <w:color w:val="auto"/>
                <w:highlight w:val="none"/>
              </w:rPr>
              <w:t>-</w:t>
            </w:r>
            <w:r>
              <w:rPr>
                <w:rFonts w:hint="eastAsia" w:cs="宋体"/>
                <w:bCs/>
                <w:color w:val="auto"/>
                <w:highlight w:val="none"/>
                <w:lang w:val="en-US" w:eastAsia="zh-CN"/>
              </w:rPr>
              <w:t>7.2</w:t>
            </w:r>
          </w:p>
        </w:tc>
      </w:tr>
      <w:tr w14:paraId="5965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3" w:type="dxa"/>
            <w:vMerge w:val="continue"/>
            <w:noWrap w:val="0"/>
            <w:vAlign w:val="center"/>
          </w:tcPr>
          <w:p w14:paraId="23049A19">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7E2D0BDF">
            <w:pPr>
              <w:shd w:val="clear" w:color="auto" w:fill="auto"/>
              <w:jc w:val="center"/>
              <w:rPr>
                <w:rFonts w:hint="eastAsia" w:ascii="宋体" w:hAnsi="宋体" w:cs="宋体"/>
                <w:bCs/>
                <w:color w:val="auto"/>
                <w:sz w:val="24"/>
                <w:highlight w:val="none"/>
              </w:rPr>
            </w:pPr>
          </w:p>
        </w:tc>
        <w:tc>
          <w:tcPr>
            <w:tcW w:w="1565" w:type="dxa"/>
            <w:vMerge w:val="continue"/>
            <w:noWrap w:val="0"/>
            <w:vAlign w:val="center"/>
          </w:tcPr>
          <w:p w14:paraId="1C784A61">
            <w:pPr>
              <w:shd w:val="clear" w:color="auto" w:fill="auto"/>
              <w:jc w:val="center"/>
              <w:rPr>
                <w:rFonts w:hint="eastAsia" w:ascii="宋体" w:hAnsi="宋体" w:cs="宋体"/>
                <w:bCs/>
                <w:color w:val="auto"/>
                <w:sz w:val="24"/>
                <w:highlight w:val="none"/>
              </w:rPr>
            </w:pPr>
          </w:p>
        </w:tc>
        <w:tc>
          <w:tcPr>
            <w:tcW w:w="3686" w:type="dxa"/>
            <w:noWrap w:val="0"/>
            <w:vAlign w:val="center"/>
          </w:tcPr>
          <w:p w14:paraId="549FBB5E">
            <w:pPr>
              <w:shd w:val="clear" w:color="auto" w:fill="auto"/>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4913FEB5">
            <w:pPr>
              <w:pStyle w:val="15"/>
              <w:shd w:val="clear" w:color="auto" w:fill="auto"/>
              <w:jc w:val="center"/>
              <w:rPr>
                <w:rFonts w:hint="eastAsia" w:cs="宋体"/>
                <w:bCs/>
                <w:color w:val="auto"/>
                <w:highlight w:val="none"/>
              </w:rPr>
            </w:pPr>
            <w:r>
              <w:rPr>
                <w:rFonts w:hint="eastAsia" w:cs="宋体"/>
                <w:bCs/>
                <w:color w:val="auto"/>
                <w:highlight w:val="none"/>
                <w:lang w:val="en-US" w:eastAsia="zh-CN"/>
              </w:rPr>
              <w:t>5.4</w:t>
            </w:r>
          </w:p>
        </w:tc>
      </w:tr>
      <w:tr w14:paraId="4ED0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noWrap w:val="0"/>
            <w:vAlign w:val="center"/>
          </w:tcPr>
          <w:p w14:paraId="5FABB0EB">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20D7E5B3">
            <w:pPr>
              <w:shd w:val="clear" w:color="auto" w:fill="auto"/>
              <w:jc w:val="center"/>
              <w:rPr>
                <w:rFonts w:hint="eastAsia" w:ascii="宋体" w:hAnsi="宋体" w:cs="宋体"/>
                <w:bCs/>
                <w:color w:val="auto"/>
                <w:sz w:val="24"/>
                <w:highlight w:val="none"/>
              </w:rPr>
            </w:pPr>
          </w:p>
        </w:tc>
        <w:tc>
          <w:tcPr>
            <w:tcW w:w="1565" w:type="dxa"/>
            <w:vMerge w:val="restart"/>
            <w:noWrap w:val="0"/>
            <w:vAlign w:val="center"/>
          </w:tcPr>
          <w:p w14:paraId="18ABC386">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服务质量保证措施、应急处理措施及保密措施</w:t>
            </w:r>
          </w:p>
          <w:p w14:paraId="63ADF64A">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9</w:t>
            </w:r>
            <w:r>
              <w:rPr>
                <w:rFonts w:hint="eastAsia" w:ascii="宋体" w:hAnsi="宋体" w:cs="宋体"/>
                <w:bCs/>
                <w:color w:val="auto"/>
                <w:sz w:val="24"/>
                <w:highlight w:val="none"/>
              </w:rPr>
              <w:t>分）</w:t>
            </w:r>
          </w:p>
        </w:tc>
        <w:tc>
          <w:tcPr>
            <w:tcW w:w="3686" w:type="dxa"/>
            <w:noWrap w:val="0"/>
            <w:vAlign w:val="center"/>
          </w:tcPr>
          <w:p w14:paraId="7479537D">
            <w:pPr>
              <w:shd w:val="clear" w:color="auto" w:fill="auto"/>
              <w:rPr>
                <w:rFonts w:hint="eastAsia" w:ascii="宋体" w:hAnsi="宋体" w:cs="宋体"/>
                <w:bCs/>
                <w:color w:val="auto"/>
                <w:sz w:val="24"/>
                <w:highlight w:val="none"/>
              </w:rPr>
            </w:pPr>
            <w:r>
              <w:rPr>
                <w:rFonts w:hint="eastAsia" w:ascii="宋体" w:hAnsi="宋体" w:cs="宋体"/>
                <w:bCs/>
                <w:color w:val="auto"/>
                <w:spacing w:val="4"/>
                <w:sz w:val="24"/>
                <w:highlight w:val="none"/>
              </w:rPr>
              <w:t>措施得力，与本项目的实际情况契合度高、可行性</w:t>
            </w:r>
            <w:r>
              <w:rPr>
                <w:rFonts w:hint="eastAsia" w:ascii="宋体" w:hAnsi="宋体" w:cs="宋体"/>
                <w:bCs/>
                <w:color w:val="auto"/>
                <w:spacing w:val="3"/>
                <w:sz w:val="24"/>
                <w:highlight w:val="none"/>
              </w:rPr>
              <w:t>强</w:t>
            </w:r>
            <w:r>
              <w:rPr>
                <w:rFonts w:hint="eastAsia" w:ascii="宋体" w:hAnsi="宋体" w:cs="宋体"/>
                <w:bCs/>
                <w:color w:val="auto"/>
                <w:spacing w:val="-17"/>
                <w:sz w:val="24"/>
                <w:highlight w:val="none"/>
              </w:rPr>
              <w:t>且</w:t>
            </w:r>
            <w:r>
              <w:rPr>
                <w:rFonts w:hint="eastAsia" w:ascii="宋体" w:hAnsi="宋体" w:cs="宋体"/>
                <w:bCs/>
                <w:color w:val="auto"/>
                <w:spacing w:val="-11"/>
                <w:sz w:val="24"/>
                <w:highlight w:val="none"/>
              </w:rPr>
              <w:t>有承诺</w:t>
            </w:r>
          </w:p>
        </w:tc>
        <w:tc>
          <w:tcPr>
            <w:tcW w:w="1869" w:type="dxa"/>
            <w:noWrap w:val="0"/>
            <w:vAlign w:val="center"/>
          </w:tcPr>
          <w:p w14:paraId="39ED9481">
            <w:pPr>
              <w:pStyle w:val="15"/>
              <w:shd w:val="clear" w:color="auto" w:fill="auto"/>
              <w:jc w:val="center"/>
              <w:rPr>
                <w:rFonts w:hint="eastAsia" w:cs="宋体"/>
                <w:bCs/>
                <w:color w:val="auto"/>
                <w:highlight w:val="none"/>
              </w:rPr>
            </w:pPr>
            <w:r>
              <w:rPr>
                <w:rFonts w:hint="eastAsia" w:cs="宋体"/>
                <w:bCs/>
                <w:color w:val="auto"/>
                <w:highlight w:val="none"/>
                <w:lang w:val="en-US" w:eastAsia="zh-CN"/>
              </w:rPr>
              <w:t>7.2</w:t>
            </w:r>
            <w:r>
              <w:rPr>
                <w:rFonts w:hint="eastAsia" w:cs="宋体"/>
                <w:bCs/>
                <w:color w:val="auto"/>
                <w:highlight w:val="none"/>
              </w:rPr>
              <w:t>-</w:t>
            </w:r>
            <w:r>
              <w:rPr>
                <w:rFonts w:hint="eastAsia" w:cs="宋体"/>
                <w:bCs/>
                <w:color w:val="auto"/>
                <w:highlight w:val="none"/>
                <w:lang w:val="en-US" w:eastAsia="zh-CN"/>
              </w:rPr>
              <w:t>9</w:t>
            </w:r>
            <w:r>
              <w:rPr>
                <w:rFonts w:cs="宋体"/>
                <w:bCs/>
                <w:color w:val="auto"/>
                <w:highlight w:val="none"/>
              </w:rPr>
              <w:t>.0</w:t>
            </w:r>
          </w:p>
        </w:tc>
      </w:tr>
      <w:tr w14:paraId="44E2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noWrap w:val="0"/>
            <w:vAlign w:val="center"/>
          </w:tcPr>
          <w:p w14:paraId="4DFF9463">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64905F52">
            <w:pPr>
              <w:shd w:val="clear" w:color="auto" w:fill="auto"/>
              <w:jc w:val="center"/>
              <w:rPr>
                <w:rFonts w:hint="eastAsia" w:ascii="宋体" w:hAnsi="宋体" w:cs="宋体"/>
                <w:bCs/>
                <w:color w:val="auto"/>
                <w:sz w:val="24"/>
                <w:highlight w:val="none"/>
              </w:rPr>
            </w:pPr>
          </w:p>
        </w:tc>
        <w:tc>
          <w:tcPr>
            <w:tcW w:w="1565" w:type="dxa"/>
            <w:vMerge w:val="continue"/>
            <w:noWrap w:val="0"/>
            <w:vAlign w:val="center"/>
          </w:tcPr>
          <w:p w14:paraId="7ACD6030">
            <w:pPr>
              <w:shd w:val="clear" w:color="auto" w:fill="auto"/>
              <w:jc w:val="center"/>
              <w:rPr>
                <w:rFonts w:hint="eastAsia" w:ascii="宋体" w:hAnsi="宋体" w:cs="宋体"/>
                <w:bCs/>
                <w:color w:val="auto"/>
                <w:sz w:val="24"/>
                <w:highlight w:val="none"/>
              </w:rPr>
            </w:pPr>
          </w:p>
        </w:tc>
        <w:tc>
          <w:tcPr>
            <w:tcW w:w="3686" w:type="dxa"/>
            <w:noWrap w:val="0"/>
            <w:vAlign w:val="center"/>
          </w:tcPr>
          <w:p w14:paraId="2FF04876">
            <w:pPr>
              <w:shd w:val="clear" w:color="auto" w:fill="auto"/>
              <w:rPr>
                <w:rFonts w:hint="eastAsia" w:ascii="宋体" w:hAnsi="宋体" w:cs="宋体"/>
                <w:bCs/>
                <w:color w:val="auto"/>
                <w:sz w:val="24"/>
                <w:highlight w:val="none"/>
              </w:rPr>
            </w:pPr>
            <w:r>
              <w:rPr>
                <w:rFonts w:hint="eastAsia" w:ascii="宋体" w:hAnsi="宋体" w:cs="宋体"/>
                <w:bCs/>
                <w:color w:val="auto"/>
                <w:spacing w:val="8"/>
                <w:sz w:val="24"/>
                <w:highlight w:val="none"/>
              </w:rPr>
              <w:t>与</w:t>
            </w:r>
            <w:r>
              <w:rPr>
                <w:rFonts w:hint="eastAsia" w:ascii="宋体" w:hAnsi="宋体" w:cs="宋体"/>
                <w:bCs/>
                <w:color w:val="auto"/>
                <w:spacing w:val="4"/>
                <w:sz w:val="24"/>
                <w:highlight w:val="none"/>
              </w:rPr>
              <w:t>本项目的实际情况契合度较高，合理可行</w:t>
            </w:r>
          </w:p>
        </w:tc>
        <w:tc>
          <w:tcPr>
            <w:tcW w:w="1869" w:type="dxa"/>
            <w:noWrap w:val="0"/>
            <w:vAlign w:val="center"/>
          </w:tcPr>
          <w:p w14:paraId="1D7594E4">
            <w:pPr>
              <w:pStyle w:val="15"/>
              <w:shd w:val="clear" w:color="auto" w:fill="auto"/>
              <w:jc w:val="center"/>
              <w:rPr>
                <w:rFonts w:hint="default" w:eastAsia="宋体" w:cs="宋体"/>
                <w:bCs/>
                <w:color w:val="auto"/>
                <w:highlight w:val="none"/>
                <w:lang w:val="en-US" w:eastAsia="zh-CN"/>
              </w:rPr>
            </w:pPr>
            <w:r>
              <w:rPr>
                <w:rFonts w:hint="eastAsia" w:cs="宋体"/>
                <w:bCs/>
                <w:color w:val="auto"/>
                <w:highlight w:val="none"/>
                <w:lang w:val="en-US" w:eastAsia="zh-CN"/>
              </w:rPr>
              <w:t>5.4</w:t>
            </w:r>
            <w:r>
              <w:rPr>
                <w:rFonts w:hint="eastAsia" w:cs="宋体"/>
                <w:bCs/>
                <w:color w:val="auto"/>
                <w:highlight w:val="none"/>
              </w:rPr>
              <w:t>-</w:t>
            </w:r>
            <w:r>
              <w:rPr>
                <w:rFonts w:hint="eastAsia" w:cs="宋体"/>
                <w:bCs/>
                <w:color w:val="auto"/>
                <w:highlight w:val="none"/>
                <w:lang w:val="en-US" w:eastAsia="zh-CN"/>
              </w:rPr>
              <w:t>7.2</w:t>
            </w:r>
          </w:p>
        </w:tc>
      </w:tr>
      <w:tr w14:paraId="0193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23" w:type="dxa"/>
            <w:vMerge w:val="continue"/>
            <w:noWrap w:val="0"/>
            <w:vAlign w:val="center"/>
          </w:tcPr>
          <w:p w14:paraId="1A0FB4FF">
            <w:pPr>
              <w:shd w:val="clear" w:color="auto" w:fill="auto"/>
              <w:jc w:val="center"/>
              <w:rPr>
                <w:rFonts w:hint="eastAsia" w:ascii="宋体" w:hAnsi="宋体" w:cs="宋体"/>
                <w:bCs/>
                <w:color w:val="auto"/>
                <w:sz w:val="24"/>
                <w:highlight w:val="none"/>
              </w:rPr>
            </w:pPr>
          </w:p>
        </w:tc>
        <w:tc>
          <w:tcPr>
            <w:tcW w:w="1128" w:type="dxa"/>
            <w:vMerge w:val="continue"/>
            <w:noWrap w:val="0"/>
            <w:vAlign w:val="center"/>
          </w:tcPr>
          <w:p w14:paraId="459361DD">
            <w:pPr>
              <w:shd w:val="clear" w:color="auto" w:fill="auto"/>
              <w:jc w:val="center"/>
              <w:rPr>
                <w:rFonts w:hint="eastAsia" w:ascii="宋体" w:hAnsi="宋体" w:cs="宋体"/>
                <w:bCs/>
                <w:color w:val="auto"/>
                <w:sz w:val="24"/>
                <w:highlight w:val="none"/>
              </w:rPr>
            </w:pPr>
          </w:p>
        </w:tc>
        <w:tc>
          <w:tcPr>
            <w:tcW w:w="1565" w:type="dxa"/>
            <w:vMerge w:val="continue"/>
            <w:noWrap w:val="0"/>
            <w:vAlign w:val="center"/>
          </w:tcPr>
          <w:p w14:paraId="3D47C0BB">
            <w:pPr>
              <w:shd w:val="clear" w:color="auto" w:fill="auto"/>
              <w:jc w:val="center"/>
              <w:rPr>
                <w:rFonts w:hint="eastAsia" w:ascii="宋体" w:hAnsi="宋体" w:cs="宋体"/>
                <w:bCs/>
                <w:color w:val="auto"/>
                <w:sz w:val="24"/>
                <w:highlight w:val="none"/>
              </w:rPr>
            </w:pPr>
          </w:p>
        </w:tc>
        <w:tc>
          <w:tcPr>
            <w:tcW w:w="3686" w:type="dxa"/>
            <w:noWrap w:val="0"/>
            <w:vAlign w:val="center"/>
          </w:tcPr>
          <w:p w14:paraId="2F33AA68">
            <w:pPr>
              <w:shd w:val="clear" w:color="auto" w:fill="auto"/>
              <w:rPr>
                <w:rFonts w:hint="eastAsia" w:ascii="宋体" w:hAnsi="宋体" w:cs="宋体"/>
                <w:bCs/>
                <w:color w:val="auto"/>
                <w:sz w:val="24"/>
                <w:highlight w:val="none"/>
              </w:rPr>
            </w:pPr>
            <w:r>
              <w:rPr>
                <w:rFonts w:hint="eastAsia" w:ascii="宋体" w:hAnsi="宋体" w:cs="宋体"/>
                <w:bCs/>
                <w:color w:val="auto"/>
                <w:spacing w:val="-1"/>
                <w:sz w:val="24"/>
                <w:highlight w:val="none"/>
              </w:rPr>
              <w:t>基本满足招标文件及项目要求</w:t>
            </w:r>
          </w:p>
        </w:tc>
        <w:tc>
          <w:tcPr>
            <w:tcW w:w="1869" w:type="dxa"/>
            <w:noWrap w:val="0"/>
            <w:vAlign w:val="center"/>
          </w:tcPr>
          <w:p w14:paraId="558AA6F2">
            <w:pPr>
              <w:pStyle w:val="15"/>
              <w:shd w:val="clear" w:color="auto" w:fill="auto"/>
              <w:jc w:val="center"/>
              <w:rPr>
                <w:rFonts w:hint="default" w:eastAsia="宋体" w:cs="宋体"/>
                <w:bCs/>
                <w:color w:val="auto"/>
                <w:highlight w:val="none"/>
                <w:lang w:val="en-US" w:eastAsia="zh-CN"/>
              </w:rPr>
            </w:pPr>
            <w:r>
              <w:rPr>
                <w:rFonts w:hint="eastAsia" w:cs="宋体"/>
                <w:bCs/>
                <w:color w:val="auto"/>
                <w:highlight w:val="none"/>
                <w:lang w:val="en-US" w:eastAsia="zh-CN"/>
              </w:rPr>
              <w:t>5.4</w:t>
            </w:r>
          </w:p>
        </w:tc>
      </w:tr>
      <w:tr w14:paraId="7649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3" w:type="dxa"/>
            <w:vMerge w:val="restart"/>
            <w:noWrap w:val="0"/>
            <w:vAlign w:val="center"/>
          </w:tcPr>
          <w:p w14:paraId="742F8580">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2.2.4（2）</w:t>
            </w:r>
          </w:p>
        </w:tc>
        <w:tc>
          <w:tcPr>
            <w:tcW w:w="2693" w:type="dxa"/>
            <w:gridSpan w:val="2"/>
            <w:vMerge w:val="restart"/>
            <w:noWrap w:val="0"/>
            <w:vAlign w:val="center"/>
          </w:tcPr>
          <w:p w14:paraId="1C5311A3">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企业业绩</w:t>
            </w:r>
          </w:p>
          <w:p w14:paraId="18F3FF46">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15</w:t>
            </w:r>
            <w:r>
              <w:rPr>
                <w:rFonts w:hint="eastAsia" w:ascii="宋体" w:hAnsi="宋体" w:cs="宋体"/>
                <w:bCs/>
                <w:color w:val="auto"/>
                <w:sz w:val="24"/>
                <w:highlight w:val="none"/>
              </w:rPr>
              <w:t>分）</w:t>
            </w:r>
          </w:p>
        </w:tc>
        <w:tc>
          <w:tcPr>
            <w:tcW w:w="5555" w:type="dxa"/>
            <w:gridSpan w:val="2"/>
            <w:noWrap w:val="0"/>
            <w:vAlign w:val="center"/>
          </w:tcPr>
          <w:p w14:paraId="5BC815ED">
            <w:pPr>
              <w:shd w:val="clear" w:color="auto" w:fill="auto"/>
              <w:rPr>
                <w:rFonts w:hint="eastAsia" w:ascii="宋体" w:hAnsi="宋体" w:cs="宋体"/>
                <w:bCs/>
                <w:color w:val="auto"/>
                <w:sz w:val="24"/>
                <w:highlight w:val="none"/>
              </w:rPr>
            </w:pPr>
            <w:r>
              <w:rPr>
                <w:rFonts w:ascii="宋体" w:hAnsi="宋体"/>
                <w:snapToGrid w:val="0"/>
                <w:color w:val="auto"/>
                <w:kern w:val="0"/>
                <w:sz w:val="24"/>
                <w:highlight w:val="none"/>
              </w:rPr>
              <w:t>满足附录</w:t>
            </w:r>
            <w:r>
              <w:rPr>
                <w:rFonts w:hint="eastAsia" w:ascii="宋体" w:hAnsi="宋体"/>
                <w:snapToGrid w:val="0"/>
                <w:color w:val="auto"/>
                <w:kern w:val="0"/>
                <w:sz w:val="24"/>
                <w:highlight w:val="none"/>
              </w:rPr>
              <w:t>2</w:t>
            </w:r>
            <w:r>
              <w:rPr>
                <w:rFonts w:ascii="宋体" w:hAnsi="宋体"/>
                <w:snapToGrid w:val="0"/>
                <w:color w:val="auto"/>
                <w:kern w:val="0"/>
                <w:sz w:val="24"/>
                <w:highlight w:val="none"/>
              </w:rPr>
              <w:t>资格审查条件（</w:t>
            </w:r>
            <w:r>
              <w:rPr>
                <w:rFonts w:hint="eastAsia" w:ascii="宋体" w:hAnsi="宋体"/>
                <w:snapToGrid w:val="0"/>
                <w:color w:val="auto"/>
                <w:kern w:val="0"/>
                <w:sz w:val="24"/>
                <w:highlight w:val="none"/>
              </w:rPr>
              <w:t>业绩</w:t>
            </w:r>
            <w:r>
              <w:rPr>
                <w:rFonts w:ascii="宋体" w:hAnsi="宋体"/>
                <w:snapToGrid w:val="0"/>
                <w:color w:val="auto"/>
                <w:kern w:val="0"/>
                <w:sz w:val="24"/>
                <w:highlight w:val="none"/>
              </w:rPr>
              <w:t>最低要求）的，得</w:t>
            </w:r>
            <w:r>
              <w:rPr>
                <w:rFonts w:hint="eastAsia" w:ascii="宋体" w:hAnsi="宋体"/>
                <w:snapToGrid w:val="0"/>
                <w:color w:val="auto"/>
                <w:kern w:val="0"/>
                <w:sz w:val="24"/>
                <w:highlight w:val="none"/>
                <w:lang w:val="en-US" w:eastAsia="zh-CN"/>
              </w:rPr>
              <w:t>9</w:t>
            </w:r>
            <w:r>
              <w:rPr>
                <w:rFonts w:ascii="宋体" w:hAnsi="宋体"/>
                <w:snapToGrid w:val="0"/>
                <w:color w:val="auto"/>
                <w:kern w:val="0"/>
                <w:sz w:val="24"/>
                <w:highlight w:val="none"/>
              </w:rPr>
              <w:t>分</w:t>
            </w:r>
          </w:p>
        </w:tc>
      </w:tr>
      <w:tr w14:paraId="09B0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823" w:type="dxa"/>
            <w:vMerge w:val="continue"/>
            <w:noWrap w:val="0"/>
            <w:vAlign w:val="center"/>
          </w:tcPr>
          <w:p w14:paraId="6D21BEAE">
            <w:pPr>
              <w:shd w:val="clear" w:color="auto" w:fill="auto"/>
              <w:jc w:val="center"/>
              <w:rPr>
                <w:rFonts w:hint="eastAsia" w:ascii="宋体" w:hAnsi="宋体" w:cs="宋体"/>
                <w:bCs/>
                <w:color w:val="auto"/>
                <w:sz w:val="24"/>
                <w:highlight w:val="none"/>
              </w:rPr>
            </w:pPr>
          </w:p>
        </w:tc>
        <w:tc>
          <w:tcPr>
            <w:tcW w:w="2693" w:type="dxa"/>
            <w:gridSpan w:val="2"/>
            <w:vMerge w:val="continue"/>
            <w:noWrap w:val="0"/>
            <w:vAlign w:val="center"/>
          </w:tcPr>
          <w:p w14:paraId="14337B89">
            <w:pPr>
              <w:shd w:val="clear" w:color="auto" w:fill="auto"/>
              <w:jc w:val="center"/>
              <w:rPr>
                <w:rFonts w:hint="eastAsia" w:ascii="宋体" w:hAnsi="宋体" w:cs="宋体"/>
                <w:bCs/>
                <w:color w:val="auto"/>
                <w:sz w:val="24"/>
                <w:highlight w:val="none"/>
              </w:rPr>
            </w:pPr>
          </w:p>
        </w:tc>
        <w:tc>
          <w:tcPr>
            <w:tcW w:w="5555" w:type="dxa"/>
            <w:gridSpan w:val="2"/>
            <w:noWrap w:val="0"/>
            <w:vAlign w:val="center"/>
          </w:tcPr>
          <w:p w14:paraId="59B865CC">
            <w:pPr>
              <w:shd w:val="clear" w:color="auto" w:fill="auto"/>
              <w:rPr>
                <w:rFonts w:hint="eastAsia" w:ascii="宋体" w:hAnsi="宋体" w:cs="宋体"/>
                <w:bCs/>
                <w:color w:val="auto"/>
                <w:sz w:val="24"/>
                <w:highlight w:val="none"/>
              </w:rPr>
            </w:pPr>
            <w:r>
              <w:rPr>
                <w:rFonts w:ascii="宋体" w:hAnsi="宋体"/>
                <w:snapToGrid w:val="0"/>
                <w:color w:val="auto"/>
                <w:kern w:val="0"/>
                <w:sz w:val="24"/>
                <w:highlight w:val="none"/>
              </w:rPr>
              <w:t>近3年内（202</w:t>
            </w:r>
            <w:r>
              <w:rPr>
                <w:rFonts w:hint="eastAsia" w:ascii="宋体" w:hAnsi="宋体"/>
                <w:snapToGrid w:val="0"/>
                <w:color w:val="auto"/>
                <w:kern w:val="0"/>
                <w:sz w:val="24"/>
                <w:highlight w:val="none"/>
                <w:lang w:val="en-US" w:eastAsia="zh-CN"/>
              </w:rPr>
              <w:t>3</w:t>
            </w:r>
            <w:r>
              <w:rPr>
                <w:rFonts w:ascii="宋体" w:hAnsi="宋体"/>
                <w:snapToGrid w:val="0"/>
                <w:color w:val="auto"/>
                <w:kern w:val="0"/>
                <w:sz w:val="24"/>
                <w:highlight w:val="none"/>
              </w:rPr>
              <w:t>年</w:t>
            </w:r>
            <w:r>
              <w:rPr>
                <w:rFonts w:hint="eastAsia" w:ascii="宋体" w:hAnsi="宋体"/>
                <w:snapToGrid w:val="0"/>
                <w:color w:val="auto"/>
                <w:kern w:val="0"/>
                <w:sz w:val="24"/>
                <w:highlight w:val="none"/>
                <w:lang w:val="en-US" w:eastAsia="zh-CN"/>
              </w:rPr>
              <w:t>4月</w:t>
            </w:r>
            <w:r>
              <w:rPr>
                <w:rFonts w:ascii="宋体" w:hAnsi="宋体"/>
                <w:snapToGrid w:val="0"/>
                <w:color w:val="auto"/>
                <w:kern w:val="0"/>
                <w:sz w:val="24"/>
                <w:highlight w:val="none"/>
              </w:rPr>
              <w:t>1日至</w:t>
            </w:r>
            <w:r>
              <w:rPr>
                <w:rFonts w:hint="eastAsia" w:ascii="宋体" w:hAnsi="宋体"/>
                <w:snapToGrid w:val="0"/>
                <w:color w:val="auto"/>
                <w:kern w:val="0"/>
                <w:sz w:val="24"/>
                <w:highlight w:val="none"/>
                <w:lang w:eastAsia="zh-CN"/>
              </w:rPr>
              <w:t>投标截止时间</w:t>
            </w:r>
            <w:r>
              <w:rPr>
                <w:rFonts w:hint="eastAsia" w:ascii="宋体" w:hAnsi="宋体"/>
                <w:snapToGrid w:val="0"/>
                <w:color w:val="auto"/>
                <w:kern w:val="0"/>
                <w:sz w:val="24"/>
                <w:highlight w:val="none"/>
              </w:rPr>
              <w:t>，以合同签订时间为准</w:t>
            </w:r>
            <w:r>
              <w:rPr>
                <w:rFonts w:ascii="宋体" w:hAnsi="宋体"/>
                <w:snapToGrid w:val="0"/>
                <w:color w:val="auto"/>
                <w:kern w:val="0"/>
                <w:sz w:val="24"/>
                <w:highlight w:val="none"/>
              </w:rPr>
              <w:t>）每</w:t>
            </w:r>
            <w:r>
              <w:rPr>
                <w:rFonts w:hint="eastAsia" w:ascii="宋体" w:hAnsi="宋体"/>
                <w:snapToGrid w:val="0"/>
                <w:color w:val="auto"/>
                <w:kern w:val="0"/>
                <w:sz w:val="24"/>
                <w:highlight w:val="none"/>
              </w:rPr>
              <w:t>增加1项</w:t>
            </w:r>
            <w:r>
              <w:rPr>
                <w:rFonts w:ascii="宋体" w:hAnsi="宋体"/>
                <w:snapToGrid w:val="0"/>
                <w:color w:val="auto"/>
                <w:kern w:val="0"/>
                <w:sz w:val="24"/>
                <w:highlight w:val="none"/>
              </w:rPr>
              <w:t>满足附录2资格审查条件（业绩最低要求）的业绩加</w:t>
            </w:r>
            <w:r>
              <w:rPr>
                <w:rFonts w:hint="eastAsia" w:ascii="宋体" w:hAnsi="宋体"/>
                <w:snapToGrid w:val="0"/>
                <w:color w:val="auto"/>
                <w:kern w:val="0"/>
                <w:sz w:val="24"/>
                <w:highlight w:val="none"/>
                <w:lang w:val="en-US" w:eastAsia="zh-CN"/>
              </w:rPr>
              <w:t>3</w:t>
            </w:r>
            <w:r>
              <w:rPr>
                <w:rFonts w:ascii="宋体" w:hAnsi="宋体"/>
                <w:snapToGrid w:val="0"/>
                <w:color w:val="auto"/>
                <w:kern w:val="0"/>
                <w:sz w:val="24"/>
                <w:highlight w:val="none"/>
              </w:rPr>
              <w:t>分，最多加</w:t>
            </w:r>
            <w:r>
              <w:rPr>
                <w:rFonts w:hint="eastAsia" w:ascii="宋体" w:hAnsi="宋体"/>
                <w:snapToGrid w:val="0"/>
                <w:color w:val="auto"/>
                <w:kern w:val="0"/>
                <w:sz w:val="24"/>
                <w:highlight w:val="none"/>
                <w:lang w:val="en-US" w:eastAsia="zh-CN"/>
              </w:rPr>
              <w:t>6</w:t>
            </w:r>
            <w:r>
              <w:rPr>
                <w:rFonts w:ascii="宋体" w:hAnsi="宋体"/>
                <w:snapToGrid w:val="0"/>
                <w:color w:val="auto"/>
                <w:kern w:val="0"/>
                <w:sz w:val="24"/>
                <w:highlight w:val="none"/>
              </w:rPr>
              <w:t>分。</w:t>
            </w:r>
          </w:p>
        </w:tc>
      </w:tr>
      <w:tr w14:paraId="62913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3" w:type="dxa"/>
            <w:vMerge w:val="restart"/>
            <w:noWrap w:val="0"/>
            <w:vAlign w:val="center"/>
          </w:tcPr>
          <w:p w14:paraId="01950AC0">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2.2.4（3）</w:t>
            </w:r>
          </w:p>
        </w:tc>
        <w:tc>
          <w:tcPr>
            <w:tcW w:w="2693" w:type="dxa"/>
            <w:gridSpan w:val="2"/>
            <w:vMerge w:val="restart"/>
            <w:noWrap w:val="0"/>
            <w:vAlign w:val="center"/>
          </w:tcPr>
          <w:p w14:paraId="6FA5921E">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项目负责人（</w:t>
            </w:r>
            <w:r>
              <w:rPr>
                <w:rFonts w:hint="eastAsia" w:ascii="宋体" w:hAnsi="宋体" w:cs="宋体"/>
                <w:bCs/>
                <w:color w:val="auto"/>
                <w:sz w:val="24"/>
                <w:highlight w:val="none"/>
                <w:lang w:val="en-US" w:eastAsia="zh-CN"/>
              </w:rPr>
              <w:t>10</w:t>
            </w:r>
            <w:r>
              <w:rPr>
                <w:rFonts w:hint="eastAsia" w:ascii="宋体" w:hAnsi="宋体" w:cs="宋体"/>
                <w:bCs/>
                <w:color w:val="auto"/>
                <w:sz w:val="24"/>
                <w:highlight w:val="none"/>
              </w:rPr>
              <w:t>分）</w:t>
            </w:r>
          </w:p>
        </w:tc>
        <w:tc>
          <w:tcPr>
            <w:tcW w:w="5555" w:type="dxa"/>
            <w:gridSpan w:val="2"/>
            <w:noWrap w:val="0"/>
            <w:vAlign w:val="center"/>
          </w:tcPr>
          <w:p w14:paraId="53CEB85E">
            <w:pPr>
              <w:shd w:val="clear" w:color="auto" w:fill="auto"/>
              <w:jc w:val="left"/>
              <w:rPr>
                <w:rFonts w:hint="eastAsia" w:ascii="宋体" w:hAnsi="宋体" w:cs="宋体"/>
                <w:bCs/>
                <w:color w:val="auto"/>
                <w:sz w:val="24"/>
                <w:highlight w:val="none"/>
              </w:rPr>
            </w:pPr>
            <w:r>
              <w:rPr>
                <w:rFonts w:ascii="宋体" w:hAnsi="宋体"/>
                <w:snapToGrid w:val="0"/>
                <w:color w:val="auto"/>
                <w:kern w:val="0"/>
                <w:sz w:val="24"/>
                <w:highlight w:val="none"/>
              </w:rPr>
              <w:t>满足附录4资格审查条件（</w:t>
            </w:r>
            <w:r>
              <w:rPr>
                <w:rFonts w:hint="eastAsia" w:ascii="宋体" w:hAnsi="宋体"/>
                <w:snapToGrid w:val="0"/>
                <w:color w:val="auto"/>
                <w:kern w:val="0"/>
                <w:sz w:val="24"/>
                <w:highlight w:val="none"/>
              </w:rPr>
              <w:t>主要人员最低要求</w:t>
            </w:r>
            <w:r>
              <w:rPr>
                <w:rFonts w:ascii="宋体" w:hAnsi="宋体"/>
                <w:snapToGrid w:val="0"/>
                <w:color w:val="auto"/>
                <w:kern w:val="0"/>
                <w:sz w:val="24"/>
                <w:highlight w:val="none"/>
              </w:rPr>
              <w:t>）的，得</w:t>
            </w:r>
            <w:r>
              <w:rPr>
                <w:rFonts w:hint="eastAsia" w:ascii="宋体" w:hAnsi="宋体"/>
                <w:snapToGrid w:val="0"/>
                <w:color w:val="auto"/>
                <w:kern w:val="0"/>
                <w:sz w:val="24"/>
                <w:highlight w:val="none"/>
                <w:lang w:val="en-US" w:eastAsia="zh-CN"/>
              </w:rPr>
              <w:t>6</w:t>
            </w:r>
            <w:r>
              <w:rPr>
                <w:rFonts w:ascii="宋体" w:hAnsi="宋体"/>
                <w:snapToGrid w:val="0"/>
                <w:color w:val="auto"/>
                <w:kern w:val="0"/>
                <w:sz w:val="24"/>
                <w:highlight w:val="none"/>
              </w:rPr>
              <w:t>分</w:t>
            </w:r>
          </w:p>
        </w:tc>
      </w:tr>
      <w:tr w14:paraId="458C3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23" w:type="dxa"/>
            <w:vMerge w:val="continue"/>
            <w:noWrap w:val="0"/>
            <w:vAlign w:val="center"/>
          </w:tcPr>
          <w:p w14:paraId="539C0563">
            <w:pPr>
              <w:shd w:val="clear" w:color="auto" w:fill="auto"/>
              <w:jc w:val="center"/>
              <w:rPr>
                <w:rFonts w:hint="eastAsia" w:ascii="宋体" w:hAnsi="宋体" w:cs="宋体"/>
                <w:bCs/>
                <w:color w:val="auto"/>
                <w:sz w:val="24"/>
                <w:highlight w:val="none"/>
              </w:rPr>
            </w:pPr>
          </w:p>
        </w:tc>
        <w:tc>
          <w:tcPr>
            <w:tcW w:w="2693" w:type="dxa"/>
            <w:gridSpan w:val="2"/>
            <w:vMerge w:val="continue"/>
            <w:noWrap w:val="0"/>
            <w:vAlign w:val="center"/>
          </w:tcPr>
          <w:p w14:paraId="29DED2D4">
            <w:pPr>
              <w:shd w:val="clear" w:color="auto" w:fill="auto"/>
              <w:jc w:val="center"/>
              <w:rPr>
                <w:rFonts w:hint="eastAsia" w:ascii="宋体" w:hAnsi="宋体" w:cs="宋体"/>
                <w:bCs/>
                <w:color w:val="auto"/>
                <w:sz w:val="24"/>
                <w:highlight w:val="none"/>
              </w:rPr>
            </w:pPr>
          </w:p>
        </w:tc>
        <w:tc>
          <w:tcPr>
            <w:tcW w:w="5555" w:type="dxa"/>
            <w:gridSpan w:val="2"/>
            <w:noWrap w:val="0"/>
            <w:vAlign w:val="center"/>
          </w:tcPr>
          <w:p w14:paraId="1725E74B">
            <w:pPr>
              <w:shd w:val="clear" w:color="auto" w:fill="auto"/>
              <w:jc w:val="left"/>
              <w:rPr>
                <w:rFonts w:hint="eastAsia" w:ascii="宋体" w:hAnsi="宋体" w:cs="宋体"/>
                <w:bCs/>
                <w:color w:val="auto"/>
                <w:sz w:val="24"/>
                <w:highlight w:val="none"/>
              </w:rPr>
            </w:pPr>
            <w:r>
              <w:rPr>
                <w:rFonts w:ascii="宋体" w:hAnsi="宋体"/>
                <w:snapToGrid w:val="0"/>
                <w:color w:val="auto"/>
                <w:kern w:val="0"/>
                <w:sz w:val="24"/>
                <w:highlight w:val="none"/>
              </w:rPr>
              <w:t>近3年内（202</w:t>
            </w:r>
            <w:r>
              <w:rPr>
                <w:rFonts w:hint="eastAsia" w:ascii="宋体" w:hAnsi="宋体"/>
                <w:snapToGrid w:val="0"/>
                <w:color w:val="auto"/>
                <w:kern w:val="0"/>
                <w:sz w:val="24"/>
                <w:highlight w:val="none"/>
                <w:lang w:val="en-US" w:eastAsia="zh-CN"/>
              </w:rPr>
              <w:t>3</w:t>
            </w:r>
            <w:r>
              <w:rPr>
                <w:rFonts w:ascii="宋体" w:hAnsi="宋体"/>
                <w:snapToGrid w:val="0"/>
                <w:color w:val="auto"/>
                <w:kern w:val="0"/>
                <w:sz w:val="24"/>
                <w:highlight w:val="none"/>
              </w:rPr>
              <w:t>年</w:t>
            </w:r>
            <w:r>
              <w:rPr>
                <w:rFonts w:hint="eastAsia" w:ascii="宋体" w:hAnsi="宋体"/>
                <w:snapToGrid w:val="0"/>
                <w:color w:val="auto"/>
                <w:kern w:val="0"/>
                <w:sz w:val="24"/>
                <w:highlight w:val="none"/>
                <w:lang w:val="en-US" w:eastAsia="zh-CN"/>
              </w:rPr>
              <w:t>4月</w:t>
            </w:r>
            <w:r>
              <w:rPr>
                <w:rFonts w:ascii="宋体" w:hAnsi="宋体"/>
                <w:snapToGrid w:val="0"/>
                <w:color w:val="auto"/>
                <w:kern w:val="0"/>
                <w:sz w:val="24"/>
                <w:highlight w:val="none"/>
              </w:rPr>
              <w:t>1日至</w:t>
            </w:r>
            <w:r>
              <w:rPr>
                <w:rFonts w:hint="eastAsia" w:ascii="宋体" w:hAnsi="宋体"/>
                <w:snapToGrid w:val="0"/>
                <w:color w:val="auto"/>
                <w:kern w:val="0"/>
                <w:sz w:val="24"/>
                <w:highlight w:val="none"/>
                <w:lang w:eastAsia="zh-CN"/>
              </w:rPr>
              <w:t>投标截止时间</w:t>
            </w:r>
            <w:r>
              <w:rPr>
                <w:rFonts w:hint="eastAsia" w:ascii="宋体" w:hAnsi="宋体"/>
                <w:snapToGrid w:val="0"/>
                <w:color w:val="auto"/>
                <w:kern w:val="0"/>
                <w:sz w:val="24"/>
                <w:highlight w:val="none"/>
              </w:rPr>
              <w:t>，以合同签订时间为准</w:t>
            </w:r>
            <w:r>
              <w:rPr>
                <w:rFonts w:ascii="宋体" w:hAnsi="宋体"/>
                <w:snapToGrid w:val="0"/>
                <w:color w:val="auto"/>
                <w:kern w:val="0"/>
                <w:sz w:val="24"/>
                <w:highlight w:val="none"/>
              </w:rPr>
              <w:t>）每</w:t>
            </w:r>
            <w:r>
              <w:rPr>
                <w:rFonts w:hint="eastAsia" w:ascii="宋体" w:hAnsi="宋体"/>
                <w:snapToGrid w:val="0"/>
                <w:color w:val="auto"/>
                <w:kern w:val="0"/>
                <w:sz w:val="24"/>
                <w:highlight w:val="none"/>
              </w:rPr>
              <w:t>增加1项</w:t>
            </w:r>
            <w:r>
              <w:rPr>
                <w:rFonts w:ascii="宋体" w:hAnsi="宋体"/>
                <w:snapToGrid w:val="0"/>
                <w:color w:val="auto"/>
                <w:kern w:val="0"/>
                <w:sz w:val="24"/>
                <w:highlight w:val="none"/>
              </w:rPr>
              <w:t>满足附录4资格审查条件（</w:t>
            </w:r>
            <w:r>
              <w:rPr>
                <w:rFonts w:hint="eastAsia" w:ascii="宋体" w:hAnsi="宋体"/>
                <w:snapToGrid w:val="0"/>
                <w:color w:val="auto"/>
                <w:kern w:val="0"/>
                <w:sz w:val="24"/>
                <w:highlight w:val="none"/>
              </w:rPr>
              <w:t>主要人员最低要求</w:t>
            </w:r>
            <w:r>
              <w:rPr>
                <w:rFonts w:ascii="宋体" w:hAnsi="宋体"/>
                <w:snapToGrid w:val="0"/>
                <w:color w:val="auto"/>
                <w:kern w:val="0"/>
                <w:sz w:val="24"/>
                <w:highlight w:val="none"/>
              </w:rPr>
              <w:t>）的业绩加</w:t>
            </w:r>
            <w:r>
              <w:rPr>
                <w:rFonts w:hint="eastAsia" w:ascii="宋体" w:hAnsi="宋体"/>
                <w:snapToGrid w:val="0"/>
                <w:color w:val="auto"/>
                <w:kern w:val="0"/>
                <w:sz w:val="24"/>
                <w:highlight w:val="none"/>
                <w:lang w:val="en-US" w:eastAsia="zh-CN"/>
              </w:rPr>
              <w:t>4</w:t>
            </w:r>
            <w:r>
              <w:rPr>
                <w:rFonts w:ascii="宋体" w:hAnsi="宋体"/>
                <w:snapToGrid w:val="0"/>
                <w:color w:val="auto"/>
                <w:kern w:val="0"/>
                <w:sz w:val="24"/>
                <w:highlight w:val="none"/>
              </w:rPr>
              <w:t>分，最多加</w:t>
            </w:r>
            <w:r>
              <w:rPr>
                <w:rFonts w:hint="eastAsia" w:ascii="宋体" w:hAnsi="宋体"/>
                <w:snapToGrid w:val="0"/>
                <w:color w:val="auto"/>
                <w:kern w:val="0"/>
                <w:sz w:val="24"/>
                <w:highlight w:val="none"/>
                <w:lang w:val="en-US" w:eastAsia="zh-CN"/>
              </w:rPr>
              <w:t>4</w:t>
            </w:r>
            <w:r>
              <w:rPr>
                <w:rFonts w:ascii="宋体" w:hAnsi="宋体"/>
                <w:snapToGrid w:val="0"/>
                <w:color w:val="auto"/>
                <w:kern w:val="0"/>
                <w:sz w:val="24"/>
                <w:highlight w:val="none"/>
              </w:rPr>
              <w:t>分。</w:t>
            </w:r>
          </w:p>
        </w:tc>
      </w:tr>
      <w:tr w14:paraId="63E2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23" w:type="dxa"/>
            <w:noWrap w:val="0"/>
            <w:vAlign w:val="center"/>
          </w:tcPr>
          <w:p w14:paraId="630FF242">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2.2.4（4）</w:t>
            </w:r>
          </w:p>
        </w:tc>
        <w:tc>
          <w:tcPr>
            <w:tcW w:w="2693" w:type="dxa"/>
            <w:gridSpan w:val="2"/>
            <w:noWrap w:val="0"/>
            <w:vAlign w:val="center"/>
          </w:tcPr>
          <w:p w14:paraId="5A9BBFAD">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评标价</w:t>
            </w:r>
          </w:p>
          <w:p w14:paraId="41768038">
            <w:pPr>
              <w:shd w:val="clear" w:color="auto" w:fill="auto"/>
              <w:jc w:val="center"/>
              <w:rPr>
                <w:rFonts w:hint="eastAsia" w:ascii="宋体" w:hAnsi="宋体" w:cs="宋体"/>
                <w:bCs/>
                <w:color w:val="auto"/>
                <w:sz w:val="24"/>
                <w:highlight w:val="none"/>
              </w:rPr>
            </w:pP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0分）</w:t>
            </w:r>
          </w:p>
        </w:tc>
        <w:tc>
          <w:tcPr>
            <w:tcW w:w="5555" w:type="dxa"/>
            <w:gridSpan w:val="2"/>
            <w:noWrap w:val="0"/>
            <w:vAlign w:val="center"/>
          </w:tcPr>
          <w:p w14:paraId="3C81F74A">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评标价得分计算公式：</w:t>
            </w:r>
          </w:p>
          <w:p w14:paraId="39C37BA4">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(1)如果投标人评标价＞评标基准价，则评标价得分=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0-偏差率×100×E1；</w:t>
            </w:r>
          </w:p>
          <w:p w14:paraId="14567921">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(2)如果投标人评标价≤评标基准价，则评标价得分=</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0+偏差率×100×E2。</w:t>
            </w:r>
          </w:p>
          <w:p w14:paraId="2516C852">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77C28C95">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E1是评标价每高于评标基准价一个百分点的扣分值，E1＝0.</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p>
          <w:p w14:paraId="321FBBE1">
            <w:pPr>
              <w:shd w:val="clear" w:color="auto" w:fil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E2是评标价每低于评标基准价一个百分点的扣分值，E2＝0.</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p>
          <w:p w14:paraId="11EF647B">
            <w:pPr>
              <w:shd w:val="clear" w:color="auto" w:fill="auto"/>
              <w:jc w:val="left"/>
              <w:rPr>
                <w:rFonts w:hint="eastAsia" w:ascii="宋体" w:hAnsi="宋体" w:cs="宋体"/>
                <w:bCs/>
                <w:color w:val="auto"/>
                <w:sz w:val="24"/>
                <w:highlight w:val="none"/>
              </w:rPr>
            </w:pPr>
            <w:r>
              <w:rPr>
                <w:rFonts w:hint="eastAsia" w:ascii="宋体" w:hAnsi="宋体" w:cs="宋体"/>
                <w:color w:val="auto"/>
                <w:sz w:val="24"/>
                <w:szCs w:val="24"/>
                <w:highlight w:val="none"/>
                <w:lang w:val="en-US" w:eastAsia="zh-CN"/>
              </w:rPr>
              <w:t>评标价</w:t>
            </w:r>
            <w:r>
              <w:rPr>
                <w:rFonts w:hint="eastAsia" w:ascii="宋体" w:hAnsi="宋体" w:eastAsia="宋体" w:cs="宋体"/>
                <w:color w:val="auto"/>
                <w:sz w:val="24"/>
                <w:szCs w:val="24"/>
                <w:highlight w:val="none"/>
                <w:lang w:eastAsia="zh-CN"/>
              </w:rPr>
              <w:t>最低得分为0分。</w:t>
            </w:r>
            <w:r>
              <w:rPr>
                <w:rFonts w:hint="eastAsia" w:ascii="宋体" w:hAnsi="宋体" w:cs="宋体"/>
                <w:color w:val="auto"/>
                <w:kern w:val="0"/>
                <w:sz w:val="24"/>
                <w:szCs w:val="24"/>
                <w:highlight w:val="none"/>
                <w:lang w:val="en-US" w:eastAsia="zh-CN"/>
              </w:rPr>
              <w:t>评标价</w:t>
            </w:r>
            <w:r>
              <w:rPr>
                <w:rFonts w:hint="eastAsia" w:ascii="宋体" w:hAnsi="宋体" w:eastAsia="宋体" w:cs="宋体"/>
                <w:color w:val="auto"/>
                <w:sz w:val="24"/>
                <w:szCs w:val="24"/>
                <w:highlight w:val="none"/>
                <w:lang w:eastAsia="zh-CN"/>
              </w:rPr>
              <w:t>得分保留小数点后两位，小数点后第三位“四舍五入”。</w:t>
            </w:r>
          </w:p>
        </w:tc>
      </w:tr>
      <w:tr w14:paraId="62E0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23" w:type="dxa"/>
            <w:noWrap w:val="0"/>
            <w:vAlign w:val="center"/>
          </w:tcPr>
          <w:p w14:paraId="5712AA93">
            <w:pPr>
              <w:shd w:val="clear" w:color="auto" w:fill="auto"/>
              <w:wordWrap w:val="0"/>
              <w:adjustRightInd w:val="0"/>
              <w:snapToGrid w:val="0"/>
              <w:spacing w:line="0" w:lineRule="atLeast"/>
              <w:jc w:val="center"/>
              <w:rPr>
                <w:rFonts w:hint="eastAsia" w:ascii="宋体" w:hAnsi="宋体" w:cs="宋体"/>
                <w:bCs/>
                <w:color w:val="auto"/>
                <w:sz w:val="24"/>
                <w:highlight w:val="none"/>
              </w:rPr>
            </w:pPr>
            <w:r>
              <w:rPr>
                <w:rFonts w:hint="eastAsia" w:ascii="宋体" w:hAnsi="宋体" w:eastAsia="宋体" w:cs="宋体"/>
                <w:snapToGrid w:val="0"/>
                <w:color w:val="auto"/>
                <w:kern w:val="0"/>
                <w:sz w:val="24"/>
                <w:szCs w:val="24"/>
                <w:highlight w:val="none"/>
              </w:rPr>
              <w:t>3.</w:t>
            </w:r>
            <w:r>
              <w:rPr>
                <w:rFonts w:hint="eastAsia" w:ascii="宋体" w:hAnsi="宋体" w:eastAsia="宋体" w:cs="宋体"/>
                <w:snapToGrid w:val="0"/>
                <w:color w:val="auto"/>
                <w:kern w:val="0"/>
                <w:sz w:val="24"/>
                <w:szCs w:val="24"/>
                <w:highlight w:val="none"/>
                <w:lang w:val="en-US" w:eastAsia="zh-CN"/>
              </w:rPr>
              <w:t>5.3</w:t>
            </w:r>
          </w:p>
        </w:tc>
        <w:tc>
          <w:tcPr>
            <w:tcW w:w="8248" w:type="dxa"/>
            <w:gridSpan w:val="4"/>
            <w:noWrap w:val="0"/>
            <w:vAlign w:val="center"/>
          </w:tcPr>
          <w:p w14:paraId="4908400E">
            <w:pPr>
              <w:shd w:val="clear" w:color="auto" w:fill="auto"/>
              <w:wordWrap w:val="0"/>
              <w:adjustRightInd w:val="0"/>
              <w:snapToGrid w:val="0"/>
              <w:spacing w:line="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本款修改为：</w:t>
            </w:r>
          </w:p>
          <w:p w14:paraId="37AE76DE">
            <w:pPr>
              <w:shd w:val="clear" w:color="auto" w:fill="auto"/>
              <w:wordWrap w:val="0"/>
              <w:adjustRightInd w:val="0"/>
              <w:snapToGrid w:val="0"/>
              <w:spacing w:line="0" w:lineRule="atLeast"/>
              <w:jc w:val="left"/>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存在投标人须知前附表</w:t>
            </w:r>
            <w:r>
              <w:rPr>
                <w:rFonts w:hint="eastAsia" w:ascii="宋体" w:hAnsi="宋体" w:eastAsia="宋体" w:cs="宋体"/>
                <w:color w:val="auto"/>
                <w:sz w:val="24"/>
                <w:szCs w:val="24"/>
                <w:highlight w:val="none"/>
                <w:lang w:eastAsia="zh-CN"/>
              </w:rPr>
              <w:t>3.2.5</w:t>
            </w:r>
            <w:r>
              <w:rPr>
                <w:rFonts w:hint="eastAsia" w:ascii="宋体" w:hAnsi="宋体" w:cs="宋体"/>
                <w:color w:val="auto"/>
                <w:sz w:val="24"/>
                <w:szCs w:val="24"/>
                <w:highlight w:val="none"/>
                <w:lang w:val="en-US" w:eastAsia="zh-CN"/>
              </w:rPr>
              <w:t>项情形的应当要求该投标人作出书面说明并提供相应的证明材料。投标人不能合理说明或者不能提供相应证明材料的，评标委员会应当认定该投标人以低于成本或影响履约的异常低价竞标，否决其投标。</w:t>
            </w:r>
          </w:p>
        </w:tc>
      </w:tr>
    </w:tbl>
    <w:p w14:paraId="5182010B">
      <w:pPr>
        <w:pStyle w:val="6"/>
        <w:shd w:val="clear" w:color="auto" w:fill="auto"/>
        <w:adjustRightInd w:val="0"/>
        <w:snapToGrid w:val="0"/>
        <w:spacing w:line="360" w:lineRule="auto"/>
        <w:jc w:val="left"/>
        <w:textAlignment w:val="baseline"/>
        <w:rPr>
          <w:rFonts w:hAnsi="宋体"/>
          <w:snapToGrid w:val="0"/>
          <w:color w:val="auto"/>
          <w:kern w:val="0"/>
          <w:sz w:val="24"/>
          <w:szCs w:val="24"/>
          <w:highlight w:val="none"/>
        </w:rPr>
      </w:pPr>
      <w:r>
        <w:rPr>
          <w:rFonts w:hAnsi="宋体"/>
          <w:snapToGrid w:val="0"/>
          <w:color w:val="auto"/>
          <w:kern w:val="0"/>
          <w:sz w:val="24"/>
          <w:szCs w:val="24"/>
          <w:highlight w:val="none"/>
        </w:rPr>
        <w:t>注：</w:t>
      </w:r>
    </w:p>
    <w:p w14:paraId="050BB7D8">
      <w:pPr>
        <w:numPr>
          <w:ilvl w:val="0"/>
          <w:numId w:val="0"/>
        </w:numPr>
        <w:shd w:val="clear" w:color="auto" w:fill="auto"/>
        <w:autoSpaceDE w:val="0"/>
        <w:autoSpaceDN w:val="0"/>
        <w:adjustRightInd w:val="0"/>
        <w:snapToGrid w:val="0"/>
        <w:spacing w:line="360" w:lineRule="auto"/>
        <w:ind w:right="113" w:rightChars="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 xml:space="preserve">1. </w:t>
      </w:r>
      <w:r>
        <w:rPr>
          <w:rFonts w:hint="eastAsia" w:ascii="宋体" w:hAnsi="宋体" w:eastAsia="宋体" w:cs="宋体"/>
          <w:color w:val="auto"/>
          <w:sz w:val="24"/>
          <w:highlight w:val="none"/>
          <w:lang w:eastAsia="zh-CN"/>
        </w:rPr>
        <w:t>打分保留1位小数，各评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lang w:eastAsia="zh-CN"/>
        </w:rPr>
        <w:t>因素得分以评标委员会各成员的打分平均值确定，保留两位小数，第三位四舍五入。</w:t>
      </w:r>
    </w:p>
    <w:p w14:paraId="31737909">
      <w:pPr>
        <w:pStyle w:val="16"/>
        <w:shd w:val="clear" w:color="auto" w:fill="auto"/>
        <w:spacing w:line="360" w:lineRule="auto"/>
        <w:jc w:val="both"/>
        <w:outlineLvl w:val="0"/>
        <w:rPr>
          <w:rFonts w:ascii="宋体" w:hAnsi="宋体" w:eastAsia="宋体"/>
          <w:b/>
          <w:color w:val="auto"/>
          <w:highlight w:val="none"/>
        </w:rPr>
        <w:sectPr>
          <w:pgSz w:w="11906" w:h="16838"/>
          <w:pgMar w:top="1418" w:right="1361" w:bottom="1361" w:left="1418" w:header="851" w:footer="737" w:gutter="0"/>
          <w:pgNumType w:fmt="numberInDash"/>
          <w:cols w:space="720" w:num="1"/>
          <w:docGrid w:linePitch="312" w:charSpace="0"/>
        </w:sect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评标委员会成员对某一项评分因素的评分低于权重分值60%的，应在评标报告中作出说明。</w:t>
      </w:r>
      <w:r>
        <w:rPr>
          <w:rFonts w:hint="eastAsia" w:ascii="宋体" w:hAnsi="宋体" w:eastAsia="宋体" w:cs="宋体"/>
          <w:color w:val="auto"/>
          <w:sz w:val="24"/>
          <w:highlight w:val="none"/>
          <w:lang w:val="en-US" w:eastAsia="zh-CN"/>
        </w:rPr>
        <w:t>服务方案评分因素</w:t>
      </w:r>
      <w:r>
        <w:rPr>
          <w:rFonts w:hint="eastAsia" w:ascii="宋体" w:hAnsi="宋体" w:eastAsia="宋体" w:cs="宋体"/>
          <w:color w:val="auto"/>
          <w:sz w:val="24"/>
          <w:highlight w:val="none"/>
          <w:lang w:eastAsia="zh-CN"/>
        </w:rPr>
        <w:t>缺项则该项得0分</w:t>
      </w:r>
    </w:p>
    <w:p w14:paraId="102B28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DA5446"/>
    <w:multiLevelType w:val="singleLevel"/>
    <w:tmpl w:val="50DA5446"/>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kMjFjMTdmNjM4YWZhY2QyMTVhZjBlOTFkOGFhODgifQ=="/>
  </w:docVars>
  <w:rsids>
    <w:rsidRoot w:val="74E77471"/>
    <w:rsid w:val="0C571F99"/>
    <w:rsid w:val="74E7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99"/>
    <w:rPr>
      <w:rFonts w:ascii="宋体" w:hAnsi="宋体" w:eastAsia="宋体"/>
      <w:sz w:val="24"/>
    </w:rPr>
  </w:style>
  <w:style w:type="paragraph" w:styleId="3">
    <w:name w:val="Body Text 2"/>
    <w:basedOn w:val="1"/>
    <w:next w:val="1"/>
    <w:qFormat/>
    <w:uiPriority w:val="0"/>
    <w:rPr>
      <w:sz w:val="28"/>
      <w:szCs w:val="20"/>
    </w:rPr>
  </w:style>
  <w:style w:type="paragraph" w:styleId="4">
    <w:name w:val="Body Text Indent"/>
    <w:basedOn w:val="1"/>
    <w:next w:val="5"/>
    <w:qFormat/>
    <w:uiPriority w:val="0"/>
    <w:pPr>
      <w:spacing w:line="360" w:lineRule="auto"/>
      <w:ind w:firstLine="480" w:firstLineChars="200"/>
    </w:pPr>
    <w:rPr>
      <w:rFonts w:ascii="宋体" w:hAnsi="宋体"/>
      <w:sz w:val="24"/>
    </w:rPr>
  </w:style>
  <w:style w:type="paragraph" w:styleId="5">
    <w:name w:val="Body Text Indent 2"/>
    <w:basedOn w:val="1"/>
    <w:qFormat/>
    <w:uiPriority w:val="0"/>
    <w:pPr>
      <w:spacing w:line="520" w:lineRule="exact"/>
      <w:ind w:firstLine="480" w:firstLineChars="200"/>
    </w:pPr>
    <w:rPr>
      <w:rFonts w:ascii="宋体" w:hAnsi="宋体"/>
      <w:color w:val="000000"/>
      <w:sz w:val="24"/>
    </w:rPr>
  </w:style>
  <w:style w:type="paragraph" w:styleId="6">
    <w:name w:val="Plain Text"/>
    <w:basedOn w:val="1"/>
    <w:next w:val="7"/>
    <w:qFormat/>
    <w:uiPriority w:val="0"/>
    <w:rPr>
      <w:rFonts w:ascii="宋体" w:hAnsi="Courier New" w:cs="Courier New"/>
      <w:szCs w:val="21"/>
    </w:rPr>
  </w:style>
  <w:style w:type="paragraph" w:styleId="7">
    <w:name w:val="List Number 5"/>
    <w:basedOn w:val="1"/>
    <w:uiPriority w:val="0"/>
    <w:pPr>
      <w:numPr>
        <w:ilvl w:val="0"/>
        <w:numId w:val="1"/>
      </w:numPr>
    </w:pPr>
  </w:style>
  <w:style w:type="paragraph" w:styleId="8">
    <w:name w:val="Body Text First Indent 2"/>
    <w:basedOn w:val="4"/>
    <w:next w:val="6"/>
    <w:qFormat/>
    <w:uiPriority w:val="99"/>
    <w:pPr>
      <w:ind w:firstLine="420" w:firstLineChars="200"/>
    </w:pPr>
    <w:rPr>
      <w:color w:val="000000"/>
    </w:rPr>
  </w:style>
  <w:style w:type="paragraph" w:customStyle="1" w:styleId="11">
    <w:name w:val="目录3"/>
    <w:basedOn w:val="1"/>
    <w:qFormat/>
    <w:uiPriority w:val="0"/>
    <w:pPr>
      <w:spacing w:before="156" w:beforeLines="50" w:after="156" w:afterLines="50" w:line="400" w:lineRule="exact"/>
    </w:pPr>
    <w:rPr>
      <w:rFonts w:ascii="黑体" w:eastAsia="黑体"/>
      <w:sz w:val="24"/>
    </w:rPr>
  </w:style>
  <w:style w:type="paragraph" w:customStyle="1" w:styleId="12">
    <w:name w:val="二级标题"/>
    <w:basedOn w:val="1"/>
    <w:qFormat/>
    <w:uiPriority w:val="1"/>
    <w:pPr>
      <w:ind w:left="100"/>
      <w:outlineLvl w:val="3"/>
    </w:pPr>
    <w:rPr>
      <w:rFonts w:ascii="Microsoft JhengHei" w:hAnsi="Microsoft JhengHei" w:eastAsia="黑体"/>
      <w:b/>
      <w:bCs/>
      <w:sz w:val="32"/>
      <w:szCs w:val="32"/>
    </w:rPr>
  </w:style>
  <w:style w:type="character" w:customStyle="1" w:styleId="13">
    <w:name w:val="目录4 Char"/>
    <w:qFormat/>
    <w:uiPriority w:val="0"/>
    <w:rPr>
      <w:rFonts w:ascii="黑体" w:eastAsia="黑体"/>
      <w:kern w:val="2"/>
      <w:sz w:val="24"/>
      <w:szCs w:val="24"/>
      <w:lang w:val="en-US" w:eastAsia="zh-CN" w:bidi="ar-SA"/>
    </w:rPr>
  </w:style>
  <w:style w:type="character" w:customStyle="1" w:styleId="14">
    <w:name w:val="目录4 Char Char"/>
    <w:qFormat/>
    <w:uiPriority w:val="0"/>
    <w:rPr>
      <w:rFonts w:ascii="黑体" w:eastAsia="黑体"/>
      <w:kern w:val="2"/>
      <w:sz w:val="24"/>
      <w:szCs w:val="24"/>
      <w:lang w:val="en-US" w:eastAsia="zh-CN" w:bidi="ar-SA"/>
    </w:rPr>
  </w:style>
  <w:style w:type="paragraph" w:styleId="15">
    <w:name w:val="No Spacing"/>
    <w:qFormat/>
    <w:uiPriority w:val="0"/>
    <w:pPr>
      <w:widowControl w:val="0"/>
      <w:jc w:val="both"/>
    </w:pPr>
    <w:rPr>
      <w:rFonts w:ascii="宋体" w:hAnsi="宋体" w:eastAsia="宋体" w:cs="Times New Roman"/>
      <w:kern w:val="2"/>
      <w:sz w:val="24"/>
      <w:szCs w:val="24"/>
      <w:lang w:val="en-US" w:eastAsia="zh-CN" w:bidi="ar-SA"/>
    </w:rPr>
  </w:style>
  <w:style w:type="paragraph" w:customStyle="1" w:styleId="16">
    <w:name w:val="目录1"/>
    <w:basedOn w:val="1"/>
    <w:qFormat/>
    <w:uiPriority w:val="0"/>
    <w:rPr>
      <w:rFonts w:ascii="黑体" w:eastAsia="黑体"/>
      <w:sz w:val="52"/>
      <w:szCs w:val="5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5663</Words>
  <Characters>6251</Characters>
  <Lines>0</Lines>
  <Paragraphs>0</Paragraphs>
  <TotalTime>0</TotalTime>
  <ScaleCrop>false</ScaleCrop>
  <LinksUpToDate>false</LinksUpToDate>
  <CharactersWithSpaces>6316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2026-04-02T07:56:00Z</dcterms:created>
  <dc:creator>Administrator</dc:creator>
  <cp:lastModifiedBy>冯士峰</cp:lastModifiedBy>
  <dcterms:modified xsi:type="dcterms:W3CDTF">2026-04-02T08:22:19Z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9F6E9F3690514519971821EBA42BC252_11</vt:lpwstr>
  </property>
  <property fmtid="{D5CDD505-2E9C-101B-9397-08002B2CF9AE}" pid="4" name="KSOTemplateDocerSaveRecord">
    <vt:lpwstr>eyJoZGlkIjoiMjNhMGNiNzBmYzRmYmU1YWU1ZDVjYzI3MTI0YTIzZjQiLCJ1c2VySWQiOiIxNjg3ODQzOTczIn0=</vt:lpwstr>
  </property>
</Properties>
</file>