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6637B">
      <w:pPr>
        <w:pStyle w:val="3"/>
        <w:numPr>
          <w:ilvl w:val="0"/>
          <w:numId w:val="0"/>
        </w:numPr>
        <w:bidi w:val="0"/>
        <w:ind w:leftChars="0"/>
        <w:outlineLvl w:val="2"/>
        <w:rPr>
          <w:color w:val="auto"/>
          <w:highlight w:val="none"/>
        </w:rPr>
      </w:pPr>
      <w:bookmarkStart w:id="4" w:name="_GoBack"/>
      <w:bookmarkEnd w:id="4"/>
      <w:bookmarkStart w:id="0" w:name="_Toc7171"/>
      <w:bookmarkStart w:id="1" w:name="OLE_LINK3"/>
      <w:bookmarkStart w:id="2" w:name="OLE_LINK1"/>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：资格审查条件</w:t>
      </w:r>
      <w:bookmarkEnd w:id="0"/>
    </w:p>
    <w:p w14:paraId="5C4415B2">
      <w:pPr>
        <w:jc w:val="center"/>
        <w:rPr>
          <w:rFonts w:hint="eastAsia" w:ascii="宋体" w:hAnsi="宋体"/>
          <w:b/>
          <w:color w:val="auto"/>
          <w:sz w:val="24"/>
          <w:szCs w:val="24"/>
          <w:highlight w:val="none"/>
        </w:rPr>
      </w:pPr>
    </w:p>
    <w:p w14:paraId="0E450805">
      <w:pPr>
        <w:jc w:val="center"/>
        <w:rPr>
          <w:rFonts w:ascii="宋体" w:hAnsi="宋体"/>
          <w:b/>
          <w:color w:val="auto"/>
          <w:sz w:val="24"/>
          <w:szCs w:val="24"/>
          <w:highlight w:val="none"/>
        </w:rPr>
      </w:pPr>
      <w:r>
        <w:rPr>
          <w:rFonts w:hint="eastAsia" w:ascii="宋体" w:hAnsi="宋体"/>
          <w:b/>
          <w:color w:val="auto"/>
          <w:sz w:val="24"/>
          <w:szCs w:val="24"/>
          <w:highlight w:val="none"/>
        </w:rPr>
        <w:t>附录1资格审查条件（资质最低要求）</w:t>
      </w:r>
    </w:p>
    <w:tbl>
      <w:tblPr>
        <w:tblStyle w:val="7"/>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27B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15F86B7A">
            <w:pPr>
              <w:keepNext w:val="0"/>
              <w:keepLines w:val="0"/>
              <w:suppressLineNumbers w:val="0"/>
              <w:spacing w:before="0" w:beforeAutospacing="0" w:after="0" w:afterAutospacing="0"/>
              <w:ind w:left="0" w:right="0"/>
              <w:jc w:val="center"/>
              <w:rPr>
                <w:rFonts w:hint="default" w:ascii="宋体" w:hAnsi="宋体"/>
                <w:color w:val="auto"/>
                <w:sz w:val="21"/>
                <w:szCs w:val="24"/>
                <w:highlight w:val="none"/>
              </w:rPr>
            </w:pPr>
            <w:r>
              <w:rPr>
                <w:rFonts w:hint="eastAsia" w:ascii="宋体" w:hAnsi="宋体"/>
                <w:color w:val="auto"/>
                <w:sz w:val="21"/>
                <w:szCs w:val="24"/>
                <w:highlight w:val="none"/>
              </w:rPr>
              <w:t>资质等级要求</w:t>
            </w:r>
          </w:p>
        </w:tc>
      </w:tr>
      <w:tr w14:paraId="49AC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8642" w:type="dxa"/>
            <w:vAlign w:val="center"/>
          </w:tcPr>
          <w:p w14:paraId="6A1E6FFD">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ascii="宋体" w:hAnsi="宋体"/>
                <w:sz w:val="21"/>
                <w:szCs w:val="24"/>
                <w:highlight w:val="none"/>
                <w:lang w:eastAsia="zh-CN"/>
              </w:rPr>
            </w:pPr>
            <w:r>
              <w:rPr>
                <w:rFonts w:hint="eastAsia" w:ascii="宋体" w:hAnsi="宋体"/>
                <w:sz w:val="21"/>
                <w:szCs w:val="24"/>
                <w:highlight w:val="none"/>
                <w:lang w:eastAsia="zh-CN"/>
              </w:rPr>
              <w:t>1.投标人应是中华人民共和国境内的法人或其他组织，持有有效的营业执照；</w:t>
            </w:r>
          </w:p>
          <w:p w14:paraId="6A1E6FFE">
            <w:pPr>
              <w:pStyle w:val="10"/>
              <w:keepNext w:val="0"/>
              <w:keepLines w:val="0"/>
              <w:pageBreakBefore w:val="0"/>
              <w:widowControl w:val="0"/>
              <w:kinsoku/>
              <w:wordWrap/>
              <w:overflowPunct/>
              <w:topLinePunct w:val="0"/>
              <w:autoSpaceDE/>
              <w:autoSpaceDN/>
              <w:bidi w:val="0"/>
              <w:adjustRightInd/>
              <w:snapToGrid w:val="0"/>
              <w:spacing w:line="300" w:lineRule="auto"/>
              <w:ind w:firstLine="42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2.具备公安部第三研究所颁发的《网络安全服务认证证书等级保护测评服务认证》；</w:t>
            </w:r>
          </w:p>
          <w:p w14:paraId="3DE61D51">
            <w:pPr>
              <w:pStyle w:val="10"/>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3.具备国家密码管理局颁发的《商用密码检测机构资质证书》。</w:t>
            </w:r>
          </w:p>
          <w:p w14:paraId="4A4903E5">
            <w:pPr>
              <w:pStyle w:val="10"/>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以联合体形式投标的，联合体所有成员数量不得超过</w:t>
            </w:r>
            <w:r>
              <w:rPr>
                <w:rFonts w:hint="eastAsia" w:ascii="宋体" w:hAnsi="宋体" w:eastAsia="宋体" w:cs="宋体"/>
                <w:sz w:val="21"/>
                <w:szCs w:val="21"/>
                <w:highlight w:val="none"/>
                <w:u w:val="single"/>
                <w:lang w:eastAsia="zh-CN"/>
              </w:rPr>
              <w:t>2家</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rPr>
              <w:t>联合体应满足本项规定的资格条件</w:t>
            </w:r>
            <w:r>
              <w:rPr>
                <w:rFonts w:hint="eastAsia" w:ascii="宋体" w:hAnsi="宋体" w:eastAsia="宋体" w:cs="宋体"/>
                <w:sz w:val="21"/>
                <w:szCs w:val="21"/>
                <w:highlight w:val="none"/>
                <w:lang w:eastAsia="zh-CN"/>
              </w:rPr>
              <w:t>。</w:t>
            </w:r>
          </w:p>
        </w:tc>
      </w:tr>
    </w:tbl>
    <w:p w14:paraId="1FCD1637">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olor w:val="auto"/>
          <w:sz w:val="24"/>
          <w:szCs w:val="24"/>
          <w:highlight w:val="none"/>
        </w:rPr>
      </w:pPr>
    </w:p>
    <w:p w14:paraId="078F81A8">
      <w:pPr>
        <w:jc w:val="center"/>
        <w:rPr>
          <w:rFonts w:ascii="宋体" w:hAnsi="宋体"/>
          <w:b/>
          <w:color w:val="auto"/>
          <w:sz w:val="24"/>
          <w:szCs w:val="24"/>
          <w:highlight w:val="none"/>
        </w:rPr>
      </w:pPr>
      <w:r>
        <w:rPr>
          <w:rFonts w:hint="eastAsia" w:ascii="宋体" w:hAnsi="宋体"/>
          <w:b/>
          <w:color w:val="auto"/>
          <w:sz w:val="24"/>
          <w:szCs w:val="24"/>
          <w:highlight w:val="none"/>
        </w:rPr>
        <w:t>附录2资格审查条件（业绩最低要求）</w:t>
      </w:r>
    </w:p>
    <w:tbl>
      <w:tblPr>
        <w:tblStyle w:val="7"/>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1CB2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140EF2E1">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业绩要求</w:t>
            </w:r>
          </w:p>
        </w:tc>
      </w:tr>
      <w:tr w14:paraId="5595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8642" w:type="dxa"/>
            <w:vAlign w:val="center"/>
          </w:tcPr>
          <w:p w14:paraId="6A1E7006">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ascii="宋体" w:hAnsi="宋体"/>
                <w:sz w:val="21"/>
                <w:szCs w:val="21"/>
                <w:highlight w:val="none"/>
                <w:lang w:eastAsia="zh-CN"/>
              </w:rPr>
            </w:pPr>
            <w:r>
              <w:rPr>
                <w:rFonts w:hint="eastAsia" w:ascii="宋体" w:hAnsi="宋体"/>
                <w:sz w:val="21"/>
                <w:szCs w:val="21"/>
                <w:highlight w:val="none"/>
                <w:lang w:eastAsia="zh-CN"/>
              </w:rPr>
              <w:t>1.近3年（2023年4月1日至投标截止时间，以合同签订时间为准），至少承担过1项等保测评服务</w:t>
            </w:r>
            <w:r>
              <w:rPr>
                <w:rFonts w:hint="eastAsia" w:ascii="宋体" w:hAnsi="宋体"/>
                <w:sz w:val="21"/>
                <w:szCs w:val="21"/>
                <w:highlight w:val="none"/>
                <w:lang w:val="en-US" w:eastAsia="zh-CN"/>
              </w:rPr>
              <w:t>项目</w:t>
            </w:r>
            <w:r>
              <w:rPr>
                <w:rFonts w:hint="eastAsia" w:ascii="宋体" w:hAnsi="宋体"/>
                <w:sz w:val="21"/>
                <w:szCs w:val="21"/>
                <w:highlight w:val="none"/>
                <w:lang w:eastAsia="zh-CN"/>
              </w:rPr>
              <w:t>。</w:t>
            </w:r>
          </w:p>
          <w:p w14:paraId="52676780">
            <w:pPr>
              <w:pStyle w:val="10"/>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highlight w:val="none"/>
                <w:lang w:eastAsia="zh-CN"/>
              </w:rPr>
              <w:t>2.近3年（2023年4月1日至投标截止时间，以合同签订时间为准），至少承担过1项密码评估服务</w:t>
            </w:r>
            <w:r>
              <w:rPr>
                <w:rFonts w:hint="eastAsia" w:ascii="宋体" w:hAnsi="宋体" w:eastAsia="宋体" w:cs="宋体"/>
                <w:sz w:val="21"/>
                <w:szCs w:val="21"/>
                <w:highlight w:val="none"/>
                <w:lang w:val="en-US" w:eastAsia="zh-CN"/>
              </w:rPr>
              <w:t>项目</w:t>
            </w:r>
            <w:r>
              <w:rPr>
                <w:rFonts w:hint="eastAsia" w:ascii="宋体" w:hAnsi="宋体" w:eastAsia="宋体" w:cs="宋体"/>
                <w:color w:val="auto"/>
                <w:kern w:val="0"/>
                <w:sz w:val="21"/>
                <w:szCs w:val="21"/>
                <w:highlight w:val="none"/>
                <w:lang w:val="en-US" w:eastAsia="zh-CN" w:bidi="ar-SA"/>
              </w:rPr>
              <w:t>。</w:t>
            </w:r>
          </w:p>
          <w:p w14:paraId="4261A20F">
            <w:pPr>
              <w:pStyle w:val="10"/>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以联合体形式投标的，联合体成员应按联合体协议分工分别满足本规定相应的资格条件。</w:t>
            </w:r>
          </w:p>
        </w:tc>
      </w:tr>
    </w:tbl>
    <w:p w14:paraId="7B56293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olor w:val="auto"/>
          <w:sz w:val="24"/>
          <w:szCs w:val="24"/>
          <w:highlight w:val="none"/>
        </w:rPr>
      </w:pPr>
    </w:p>
    <w:p w14:paraId="24CEF733">
      <w:pPr>
        <w:jc w:val="center"/>
        <w:rPr>
          <w:rFonts w:ascii="宋体" w:hAnsi="宋体"/>
          <w:b/>
          <w:color w:val="auto"/>
          <w:sz w:val="24"/>
          <w:szCs w:val="24"/>
          <w:highlight w:val="none"/>
        </w:rPr>
      </w:pPr>
      <w:r>
        <w:rPr>
          <w:rFonts w:hint="eastAsia" w:ascii="宋体" w:hAnsi="宋体"/>
          <w:b/>
          <w:color w:val="auto"/>
          <w:sz w:val="24"/>
          <w:szCs w:val="24"/>
          <w:highlight w:val="none"/>
        </w:rPr>
        <w:t>附录3资格审查条件（信誉最低要求）</w:t>
      </w:r>
    </w:p>
    <w:tbl>
      <w:tblPr>
        <w:tblStyle w:val="7"/>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5456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240508BB">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信誉要求</w:t>
            </w:r>
          </w:p>
        </w:tc>
      </w:tr>
      <w:tr w14:paraId="0A09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642" w:type="dxa"/>
            <w:vAlign w:val="center"/>
          </w:tcPr>
          <w:p w14:paraId="2CECA029">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投标人在过去1年中（202</w:t>
            </w:r>
            <w:r>
              <w:rPr>
                <w:rFonts w:hint="eastAsia" w:ascii="宋体" w:hAnsi="宋体"/>
                <w:color w:val="auto"/>
                <w:kern w:val="0"/>
                <w:sz w:val="21"/>
                <w:szCs w:val="21"/>
                <w:highlight w:val="none"/>
                <w:lang w:val="en-US" w:eastAsia="zh-CN"/>
              </w:rPr>
              <w:t>5</w:t>
            </w:r>
            <w:r>
              <w:rPr>
                <w:rFonts w:hint="eastAsia" w:ascii="宋体" w:hAnsi="宋体"/>
                <w:color w:val="auto"/>
                <w:kern w:val="0"/>
                <w:sz w:val="21"/>
                <w:szCs w:val="21"/>
                <w:highlight w:val="none"/>
              </w:rPr>
              <w:t>年</w:t>
            </w:r>
            <w:r>
              <w:rPr>
                <w:rFonts w:hint="eastAsia" w:ascii="宋体" w:hAnsi="宋体"/>
                <w:color w:val="auto"/>
                <w:kern w:val="0"/>
                <w:sz w:val="21"/>
                <w:szCs w:val="21"/>
                <w:highlight w:val="none"/>
                <w:lang w:val="en-US" w:eastAsia="zh-CN"/>
              </w:rPr>
              <w:t>4月</w:t>
            </w:r>
            <w:r>
              <w:rPr>
                <w:rFonts w:hint="eastAsia" w:ascii="宋体" w:hAnsi="宋体"/>
                <w:color w:val="auto"/>
                <w:kern w:val="0"/>
                <w:sz w:val="21"/>
                <w:szCs w:val="21"/>
                <w:highlight w:val="none"/>
              </w:rPr>
              <w:t>1日至投标截止时间）不曾在等保测评</w:t>
            </w:r>
            <w:r>
              <w:rPr>
                <w:rFonts w:hint="eastAsia" w:ascii="宋体" w:hAnsi="宋体"/>
                <w:color w:val="auto"/>
                <w:kern w:val="0"/>
                <w:sz w:val="21"/>
                <w:szCs w:val="21"/>
                <w:highlight w:val="none"/>
                <w:lang w:val="en-US" w:eastAsia="zh-CN"/>
              </w:rPr>
              <w:t>或</w:t>
            </w:r>
            <w:r>
              <w:rPr>
                <w:rFonts w:hint="eastAsia" w:ascii="宋体" w:hAnsi="宋体"/>
                <w:color w:val="auto"/>
                <w:kern w:val="0"/>
                <w:sz w:val="21"/>
                <w:szCs w:val="21"/>
                <w:highlight w:val="none"/>
              </w:rPr>
              <w:t>密码评估服务合同中违约而被逐或因投标人自身的原因而使等保测评</w:t>
            </w:r>
            <w:r>
              <w:rPr>
                <w:rFonts w:hint="eastAsia" w:ascii="宋体" w:hAnsi="宋体"/>
                <w:color w:val="auto"/>
                <w:kern w:val="0"/>
                <w:sz w:val="21"/>
                <w:szCs w:val="21"/>
                <w:highlight w:val="none"/>
                <w:lang w:val="en-US" w:eastAsia="zh-CN"/>
              </w:rPr>
              <w:t>或</w:t>
            </w:r>
            <w:r>
              <w:rPr>
                <w:rFonts w:hint="eastAsia" w:ascii="宋体" w:hAnsi="宋体"/>
                <w:color w:val="auto"/>
                <w:kern w:val="0"/>
                <w:sz w:val="21"/>
                <w:szCs w:val="21"/>
                <w:highlight w:val="none"/>
              </w:rPr>
              <w:t>密码评估服务合同被解除。</w:t>
            </w:r>
          </w:p>
          <w:p w14:paraId="0F57BBD6">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color w:val="auto"/>
                <w:kern w:val="0"/>
                <w:sz w:val="21"/>
                <w:szCs w:val="21"/>
                <w:highlight w:val="none"/>
                <w:lang w:eastAsia="zh-CN"/>
              </w:rPr>
            </w:pPr>
            <w:r>
              <w:rPr>
                <w:rFonts w:hint="eastAsia" w:ascii="宋体" w:hAnsi="宋体"/>
                <w:color w:val="auto"/>
                <w:kern w:val="0"/>
                <w:sz w:val="21"/>
                <w:szCs w:val="21"/>
                <w:highlight w:val="none"/>
                <w:lang w:eastAsia="zh-CN"/>
              </w:rPr>
              <w:t>以联合体形式投标的，联合体各成员均满足</w:t>
            </w:r>
            <w:r>
              <w:rPr>
                <w:rFonts w:hint="eastAsia" w:ascii="宋体" w:hAnsi="宋体" w:eastAsia="宋体" w:cs="宋体"/>
                <w:color w:val="auto"/>
                <w:kern w:val="0"/>
                <w:sz w:val="21"/>
                <w:szCs w:val="21"/>
                <w:highlight w:val="none"/>
                <w:lang w:val="en-US" w:eastAsia="zh-CN" w:bidi="ar-SA"/>
              </w:rPr>
              <w:t>本项规定</w:t>
            </w:r>
            <w:r>
              <w:rPr>
                <w:rFonts w:hint="eastAsia" w:ascii="宋体" w:hAnsi="宋体"/>
                <w:color w:val="auto"/>
                <w:kern w:val="0"/>
                <w:sz w:val="21"/>
                <w:szCs w:val="21"/>
                <w:highlight w:val="none"/>
                <w:lang w:eastAsia="zh-CN"/>
              </w:rPr>
              <w:t>的资格条件。</w:t>
            </w:r>
          </w:p>
        </w:tc>
      </w:tr>
    </w:tbl>
    <w:p w14:paraId="681E675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olor w:val="auto"/>
          <w:sz w:val="24"/>
          <w:szCs w:val="24"/>
          <w:highlight w:val="none"/>
        </w:rPr>
      </w:pPr>
    </w:p>
    <w:p w14:paraId="0908421D">
      <w:pPr>
        <w:jc w:val="center"/>
        <w:rPr>
          <w:rFonts w:ascii="宋体" w:hAnsi="宋体"/>
          <w:b/>
          <w:color w:val="auto"/>
          <w:sz w:val="24"/>
          <w:szCs w:val="24"/>
          <w:highlight w:val="none"/>
        </w:rPr>
      </w:pPr>
      <w:r>
        <w:rPr>
          <w:rFonts w:hint="eastAsia" w:ascii="宋体" w:hAnsi="宋体"/>
          <w:b/>
          <w:color w:val="auto"/>
          <w:sz w:val="24"/>
          <w:szCs w:val="24"/>
          <w:highlight w:val="none"/>
        </w:rPr>
        <w:t>附录4资格审查条件（</w:t>
      </w:r>
      <w:r>
        <w:rPr>
          <w:rFonts w:hint="eastAsia" w:ascii="宋体" w:hAnsi="宋体" w:cs="Arial"/>
          <w:b/>
          <w:bCs/>
          <w:color w:val="auto"/>
          <w:spacing w:val="15"/>
          <w:kern w:val="0"/>
          <w:sz w:val="24"/>
          <w:highlight w:val="none"/>
          <w:lang w:val="en-US" w:eastAsia="zh-CN"/>
        </w:rPr>
        <w:t>主要人员</w:t>
      </w:r>
      <w:r>
        <w:rPr>
          <w:rFonts w:hint="eastAsia" w:ascii="宋体" w:hAnsi="宋体"/>
          <w:b/>
          <w:color w:val="auto"/>
          <w:sz w:val="24"/>
          <w:szCs w:val="24"/>
          <w:highlight w:val="none"/>
        </w:rPr>
        <w:t>最低要求）</w:t>
      </w:r>
    </w:p>
    <w:tbl>
      <w:tblPr>
        <w:tblStyle w:val="7"/>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810"/>
        <w:gridCol w:w="6521"/>
      </w:tblGrid>
      <w:tr w14:paraId="6CA6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40" w:type="dxa"/>
            <w:vAlign w:val="center"/>
          </w:tcPr>
          <w:p w14:paraId="2457D5EF">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人员</w:t>
            </w:r>
          </w:p>
        </w:tc>
        <w:tc>
          <w:tcPr>
            <w:tcW w:w="810" w:type="dxa"/>
            <w:vAlign w:val="center"/>
          </w:tcPr>
          <w:p w14:paraId="5F6796BC">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数量</w:t>
            </w:r>
          </w:p>
        </w:tc>
        <w:tc>
          <w:tcPr>
            <w:tcW w:w="6521" w:type="dxa"/>
            <w:vAlign w:val="center"/>
          </w:tcPr>
          <w:p w14:paraId="73CF7A40">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资格要求</w:t>
            </w:r>
          </w:p>
        </w:tc>
      </w:tr>
      <w:tr w14:paraId="51E5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340" w:type="dxa"/>
            <w:vAlign w:val="center"/>
          </w:tcPr>
          <w:p w14:paraId="7075191E">
            <w:pPr>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等保测评负责人</w:t>
            </w:r>
          </w:p>
        </w:tc>
        <w:tc>
          <w:tcPr>
            <w:tcW w:w="810" w:type="dxa"/>
            <w:vAlign w:val="center"/>
          </w:tcPr>
          <w:p w14:paraId="602D6ABF">
            <w:pPr>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6521" w:type="dxa"/>
            <w:vAlign w:val="center"/>
          </w:tcPr>
          <w:p w14:paraId="237B66DE">
            <w:pPr>
              <w:snapToGrid w:val="0"/>
              <w:spacing w:line="300" w:lineRule="auto"/>
              <w:rPr>
                <w:sz w:val="21"/>
                <w:szCs w:val="21"/>
                <w:highlight w:val="none"/>
                <w:lang w:eastAsia="zh-CN"/>
              </w:rPr>
            </w:pPr>
            <w:r>
              <w:rPr>
                <w:rFonts w:hint="eastAsia" w:ascii="宋体" w:hAnsi="宋体"/>
                <w:sz w:val="21"/>
                <w:szCs w:val="21"/>
                <w:highlight w:val="none"/>
                <w:lang w:eastAsia="zh-CN"/>
              </w:rPr>
              <w:t>具有高级网络（或信息）安全等级测评师证书。</w:t>
            </w:r>
          </w:p>
          <w:p w14:paraId="7260BC72">
            <w:pPr>
              <w:snapToGrid w:val="0"/>
              <w:spacing w:line="300" w:lineRule="auto"/>
              <w:rPr>
                <w:rFonts w:hint="eastAsia" w:eastAsia="宋体"/>
                <w:color w:val="auto"/>
                <w:sz w:val="21"/>
                <w:szCs w:val="21"/>
                <w:highlight w:val="none"/>
                <w:lang w:eastAsia="zh-CN"/>
              </w:rPr>
            </w:pPr>
            <w:r>
              <w:rPr>
                <w:rFonts w:hint="eastAsia"/>
                <w:sz w:val="21"/>
                <w:szCs w:val="21"/>
                <w:highlight w:val="none"/>
                <w:lang w:eastAsia="zh-CN"/>
              </w:rPr>
              <w:t>近3年（2023年4月1日至投标截止时间，以合同签订时间为准），至少担任过1项</w:t>
            </w:r>
            <w:r>
              <w:rPr>
                <w:rFonts w:hint="eastAsia" w:ascii="宋体" w:hAnsi="宋体"/>
                <w:sz w:val="21"/>
                <w:szCs w:val="21"/>
                <w:highlight w:val="none"/>
                <w:lang w:eastAsia="zh-CN"/>
              </w:rPr>
              <w:t>等保测评服务</w:t>
            </w:r>
            <w:r>
              <w:rPr>
                <w:rFonts w:hint="eastAsia"/>
                <w:sz w:val="21"/>
                <w:szCs w:val="21"/>
                <w:highlight w:val="none"/>
                <w:lang w:eastAsia="zh-CN"/>
              </w:rPr>
              <w:t>的项目负责人（或项目经理或技术负责人）。</w:t>
            </w:r>
          </w:p>
        </w:tc>
      </w:tr>
      <w:tr w14:paraId="4B19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340" w:type="dxa"/>
            <w:vAlign w:val="center"/>
          </w:tcPr>
          <w:p w14:paraId="01143337">
            <w:pPr>
              <w:keepNext w:val="0"/>
              <w:keepLines w:val="0"/>
              <w:suppressLineNumbers w:val="0"/>
              <w:spacing w:before="0" w:beforeAutospacing="0" w:after="0" w:afterAutospacing="0"/>
              <w:ind w:left="0" w:right="0"/>
              <w:jc w:val="center"/>
              <w:rPr>
                <w:rFonts w:hint="default"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密码评估</w:t>
            </w:r>
            <w:r>
              <w:rPr>
                <w:rFonts w:hint="eastAsia" w:ascii="宋体" w:hAnsi="宋体" w:cs="宋体"/>
                <w:color w:val="auto"/>
                <w:kern w:val="0"/>
                <w:sz w:val="21"/>
                <w:szCs w:val="21"/>
                <w:highlight w:val="none"/>
                <w:lang w:val="en-US" w:eastAsia="zh-CN" w:bidi="ar-SA"/>
              </w:rPr>
              <w:t>负责人</w:t>
            </w:r>
          </w:p>
        </w:tc>
        <w:tc>
          <w:tcPr>
            <w:tcW w:w="810" w:type="dxa"/>
            <w:vAlign w:val="center"/>
          </w:tcPr>
          <w:p w14:paraId="55E5A2BC">
            <w:pPr>
              <w:keepNext w:val="0"/>
              <w:keepLines w:val="0"/>
              <w:suppressLineNumbers w:val="0"/>
              <w:spacing w:before="0" w:beforeAutospacing="0" w:after="0" w:afterAutospacing="0"/>
              <w:ind w:left="0" w:right="0"/>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6521" w:type="dxa"/>
            <w:vAlign w:val="center"/>
          </w:tcPr>
          <w:p w14:paraId="78B533D4">
            <w:pPr>
              <w:snapToGrid w:val="0"/>
              <w:spacing w:line="300" w:lineRule="auto"/>
              <w:rPr>
                <w:sz w:val="21"/>
                <w:szCs w:val="21"/>
                <w:highlight w:val="none"/>
                <w:lang w:eastAsia="zh-CN"/>
              </w:rPr>
            </w:pPr>
            <w:r>
              <w:rPr>
                <w:rFonts w:hint="eastAsia" w:ascii="宋体" w:hAnsi="宋体"/>
                <w:sz w:val="21"/>
                <w:szCs w:val="21"/>
                <w:highlight w:val="none"/>
                <w:lang w:eastAsia="zh-CN"/>
              </w:rPr>
              <w:t>具有商用密码应用安全性评估从业人员考核合格证书。</w:t>
            </w:r>
          </w:p>
          <w:p w14:paraId="36305574">
            <w:pPr>
              <w:snapToGrid w:val="0"/>
              <w:spacing w:line="300" w:lineRule="auto"/>
              <w:rPr>
                <w:rFonts w:hint="eastAsia" w:eastAsia="宋体"/>
                <w:color w:val="auto"/>
                <w:sz w:val="21"/>
                <w:szCs w:val="21"/>
                <w:highlight w:val="none"/>
                <w:lang w:eastAsia="zh-CN"/>
              </w:rPr>
            </w:pPr>
            <w:r>
              <w:rPr>
                <w:rFonts w:hint="eastAsia"/>
                <w:sz w:val="21"/>
                <w:szCs w:val="21"/>
                <w:highlight w:val="none"/>
                <w:lang w:eastAsia="zh-CN"/>
              </w:rPr>
              <w:t>近3年（2023年4月1日至投标截止时间，以合同签订时间为准），至少担任过1项</w:t>
            </w:r>
            <w:r>
              <w:rPr>
                <w:rFonts w:hint="eastAsia" w:ascii="宋体" w:hAnsi="宋体"/>
                <w:sz w:val="21"/>
                <w:szCs w:val="21"/>
                <w:highlight w:val="none"/>
                <w:lang w:eastAsia="zh-CN"/>
              </w:rPr>
              <w:t>密码评估服务</w:t>
            </w:r>
            <w:r>
              <w:rPr>
                <w:rFonts w:hint="eastAsia"/>
                <w:sz w:val="21"/>
                <w:szCs w:val="21"/>
                <w:highlight w:val="none"/>
                <w:lang w:eastAsia="zh-CN"/>
              </w:rPr>
              <w:t>的项目负责人（或项目经理或技术负责人）。</w:t>
            </w:r>
          </w:p>
        </w:tc>
      </w:tr>
    </w:tbl>
    <w:p w14:paraId="381E37B6">
      <w:pPr>
        <w:pStyle w:val="3"/>
        <w:snapToGrid w:val="0"/>
        <w:spacing w:before="156" w:beforeLines="50" w:after="156" w:afterLines="50" w:line="240" w:lineRule="auto"/>
        <w:outlineLvl w:val="9"/>
        <w:rPr>
          <w:rFonts w:ascii="黑体" w:eastAsia="黑体"/>
          <w:color w:val="auto"/>
          <w:spacing w:val="-8"/>
          <w:sz w:val="24"/>
          <w:szCs w:val="24"/>
          <w:highlight w:val="none"/>
        </w:rPr>
        <w:sectPr>
          <w:footerReference r:id="rId4" w:type="first"/>
          <w:footerReference r:id="rId3" w:type="default"/>
          <w:pgSz w:w="11906" w:h="16838"/>
          <w:pgMar w:top="1440" w:right="1463" w:bottom="1440" w:left="1463" w:header="851" w:footer="992" w:gutter="0"/>
          <w:pgNumType w:fmt="decimal"/>
          <w:cols w:space="0" w:num="1"/>
          <w:rtlGutter w:val="0"/>
          <w:docGrid w:type="lines" w:linePitch="312" w:charSpace="0"/>
        </w:sectPr>
      </w:pPr>
      <w:r>
        <w:rPr>
          <w:rFonts w:ascii="黑体" w:eastAsia="黑体"/>
          <w:color w:val="auto"/>
          <w:spacing w:val="-8"/>
          <w:sz w:val="24"/>
          <w:szCs w:val="24"/>
          <w:highlight w:val="none"/>
        </w:rPr>
        <w:br w:type="page"/>
      </w:r>
      <w:bookmarkStart w:id="3" w:name="_Toc24234"/>
    </w:p>
    <w:bookmarkEnd w:id="1"/>
    <w:bookmarkEnd w:id="2"/>
    <w:bookmarkEnd w:id="3"/>
    <w:p w14:paraId="7AFB479D">
      <w:pPr>
        <w:pStyle w:val="3"/>
        <w:numPr>
          <w:ilvl w:val="0"/>
          <w:numId w:val="0"/>
        </w:numPr>
        <w:snapToGrid w:val="0"/>
        <w:spacing w:before="156" w:beforeLines="50" w:after="156" w:afterLines="50" w:line="240" w:lineRule="auto"/>
        <w:ind w:left="138" w:leftChars="0"/>
        <w:outlineLvl w:val="2"/>
        <w:rPr>
          <w:sz w:val="28"/>
          <w:szCs w:val="28"/>
          <w:highlight w:val="none"/>
        </w:rPr>
      </w:pPr>
      <w:r>
        <w:rPr>
          <w:rFonts w:ascii="宋体" w:hAnsi="宋体" w:eastAsia="宋体" w:cs="宋体"/>
          <w:b/>
          <w:bCs/>
          <w:spacing w:val="-6"/>
          <w:sz w:val="28"/>
          <w:szCs w:val="28"/>
          <w:highlight w:val="none"/>
        </w:rPr>
        <w:t>附件</w:t>
      </w:r>
      <w:r>
        <w:rPr>
          <w:rFonts w:hint="eastAsia" w:ascii="Times New Roman" w:hAnsi="Times New Roman" w:eastAsia="宋体" w:cs="Times New Roman"/>
          <w:b/>
          <w:bCs/>
          <w:spacing w:val="-6"/>
          <w:sz w:val="28"/>
          <w:szCs w:val="28"/>
          <w:highlight w:val="none"/>
          <w:lang w:val="en-US" w:eastAsia="zh-CN"/>
        </w:rPr>
        <w:t>2</w:t>
      </w:r>
      <w:r>
        <w:rPr>
          <w:rFonts w:ascii="宋体" w:hAnsi="宋体" w:eastAsia="宋体" w:cs="宋体"/>
          <w:b/>
          <w:bCs/>
          <w:spacing w:val="-6"/>
          <w:sz w:val="28"/>
          <w:szCs w:val="28"/>
          <w:highlight w:val="none"/>
        </w:rPr>
        <w:t>：</w:t>
      </w:r>
      <w:r>
        <w:rPr>
          <w:b/>
          <w:bCs/>
          <w:spacing w:val="-6"/>
          <w:sz w:val="28"/>
          <w:szCs w:val="28"/>
          <w:highlight w:val="none"/>
        </w:rPr>
        <w:t>评标办法</w:t>
      </w:r>
    </w:p>
    <w:p w14:paraId="0A5F6EA7">
      <w:pPr>
        <w:spacing w:before="203" w:line="218" w:lineRule="auto"/>
        <w:ind w:left="3562"/>
        <w:rPr>
          <w:rFonts w:ascii="宋体" w:hAnsi="宋体" w:eastAsia="宋体" w:cs="宋体"/>
          <w:sz w:val="24"/>
          <w:szCs w:val="24"/>
          <w:highlight w:val="none"/>
        </w:rPr>
      </w:pPr>
      <w:r>
        <w:rPr>
          <w:rFonts w:ascii="宋体" w:hAnsi="宋体" w:eastAsia="宋体" w:cs="宋体"/>
          <w:b/>
          <w:bCs/>
          <w:spacing w:val="-3"/>
          <w:sz w:val="24"/>
          <w:szCs w:val="24"/>
          <w:highlight w:val="none"/>
        </w:rPr>
        <w:t>评标办法（</w:t>
      </w:r>
      <w:r>
        <w:rPr>
          <w:rFonts w:hint="eastAsia" w:ascii="宋体" w:hAnsi="宋体" w:cs="宋体"/>
          <w:b/>
          <w:bCs/>
          <w:spacing w:val="-3"/>
          <w:sz w:val="24"/>
          <w:szCs w:val="24"/>
          <w:highlight w:val="none"/>
          <w:lang w:eastAsia="zh-CN"/>
        </w:rPr>
        <w:t>综合评估法</w:t>
      </w:r>
      <w:r>
        <w:rPr>
          <w:rFonts w:ascii="宋体" w:hAnsi="宋体" w:eastAsia="宋体" w:cs="宋体"/>
          <w:b/>
          <w:bCs/>
          <w:spacing w:val="-3"/>
          <w:sz w:val="24"/>
          <w:szCs w:val="24"/>
          <w:highlight w:val="none"/>
        </w:rPr>
        <w:t>）</w:t>
      </w:r>
    </w:p>
    <w:p w14:paraId="0B55D99A">
      <w:pPr>
        <w:spacing w:before="181" w:line="219" w:lineRule="auto"/>
        <w:ind w:left="113"/>
        <w:rPr>
          <w:rFonts w:ascii="宋体" w:hAnsi="宋体" w:eastAsia="宋体" w:cs="宋体"/>
          <w:sz w:val="24"/>
          <w:szCs w:val="24"/>
          <w:highlight w:val="none"/>
        </w:rPr>
      </w:pPr>
      <w:r>
        <w:rPr>
          <w:rFonts w:ascii="宋体" w:hAnsi="宋体" w:eastAsia="宋体" w:cs="宋体"/>
          <w:b/>
          <w:bCs/>
          <w:spacing w:val="-4"/>
          <w:sz w:val="24"/>
          <w:szCs w:val="24"/>
          <w:highlight w:val="none"/>
        </w:rPr>
        <w:t>评标办法前附表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444"/>
        <w:gridCol w:w="6956"/>
        <w:gridCol w:w="18"/>
      </w:tblGrid>
      <w:tr w14:paraId="6F88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208" w:type="pct"/>
            <w:gridSpan w:val="2"/>
            <w:vAlign w:val="center"/>
          </w:tcPr>
          <w:p w14:paraId="37A0E4E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791" w:type="pct"/>
            <w:gridSpan w:val="2"/>
            <w:vAlign w:val="center"/>
          </w:tcPr>
          <w:p w14:paraId="51B44A5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14:paraId="4CF8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90" w:hRule="atLeast"/>
        </w:trPr>
        <w:tc>
          <w:tcPr>
            <w:tcW w:w="423" w:type="pct"/>
            <w:vAlign w:val="center"/>
          </w:tcPr>
          <w:p w14:paraId="3F9ECA6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84" w:type="pct"/>
            <w:vAlign w:val="center"/>
          </w:tcPr>
          <w:p w14:paraId="22DBC7C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782" w:type="pct"/>
            <w:vAlign w:val="center"/>
          </w:tcPr>
          <w:p w14:paraId="4A19452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132339D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176"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14:paraId="2B85981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176"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14:paraId="10096E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202" w:firstLineChars="1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（3）投标人满足资格审查条件（业绩最低条件）要求的业绩金额累计较高的优先。</w:t>
            </w:r>
          </w:p>
          <w:p w14:paraId="2D30A2F0">
            <w:pPr>
              <w:pStyle w:val="10"/>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highlight w:val="none"/>
                <w:lang w:eastAsia="zh-CN"/>
              </w:rPr>
            </w:pPr>
            <w:r>
              <w:rPr>
                <w:rFonts w:hint="eastAsia" w:ascii="宋体" w:hAnsi="宋体" w:eastAsia="宋体" w:cs="宋体"/>
                <w:sz w:val="21"/>
                <w:szCs w:val="21"/>
                <w:highlight w:val="none"/>
                <w:lang w:eastAsia="zh-CN"/>
              </w:rPr>
              <w:t>与本项目</w:t>
            </w:r>
            <w:r>
              <w:rPr>
                <w:rFonts w:hint="eastAsia" w:ascii="宋体" w:hAnsi="宋体" w:eastAsia="宋体" w:cs="宋体"/>
                <w:sz w:val="21"/>
                <w:szCs w:val="21"/>
                <w:highlight w:val="none"/>
                <w:lang w:val="en-US" w:eastAsia="zh-CN"/>
              </w:rPr>
              <w:t>开发单位</w:t>
            </w:r>
            <w:r>
              <w:rPr>
                <w:rFonts w:hint="eastAsia" w:ascii="宋体" w:hAnsi="宋体" w:eastAsia="宋体" w:cs="宋体"/>
                <w:sz w:val="21"/>
                <w:szCs w:val="21"/>
                <w:highlight w:val="none"/>
                <w:lang w:eastAsia="zh-CN"/>
              </w:rPr>
              <w:t>存在利害关系或单位负责人为同一人或存在控股、管理关系的不同单位，</w:t>
            </w:r>
            <w:r>
              <w:rPr>
                <w:rFonts w:hint="eastAsia" w:ascii="宋体" w:hAnsi="宋体" w:eastAsia="宋体" w:cs="宋体"/>
                <w:sz w:val="21"/>
                <w:szCs w:val="21"/>
                <w:highlight w:val="none"/>
                <w:lang w:val="en-US" w:eastAsia="zh-CN"/>
              </w:rPr>
              <w:t>不推荐为本项目中标候选人。</w:t>
            </w:r>
          </w:p>
        </w:tc>
      </w:tr>
      <w:tr w14:paraId="369A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90" w:hRule="atLeast"/>
        </w:trPr>
        <w:tc>
          <w:tcPr>
            <w:tcW w:w="423" w:type="pct"/>
            <w:vAlign w:val="center"/>
          </w:tcPr>
          <w:p w14:paraId="0F27B8E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14:paraId="699F319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784" w:type="pct"/>
            <w:vAlign w:val="center"/>
          </w:tcPr>
          <w:p w14:paraId="4E30A84D">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782" w:type="pct"/>
            <w:vAlign w:val="top"/>
          </w:tcPr>
          <w:p w14:paraId="5C904FEC">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第一个信封（商务文件）评审标准：</w:t>
            </w:r>
          </w:p>
          <w:p w14:paraId="03ECD0A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14:paraId="6E00AB4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w:t>
            </w:r>
            <w:r>
              <w:rPr>
                <w:rFonts w:hint="eastAsia" w:ascii="宋体" w:hAnsi="宋体" w:eastAsia="宋体" w:cs="宋体"/>
                <w:color w:val="auto"/>
                <w:sz w:val="21"/>
                <w:szCs w:val="21"/>
                <w:highlight w:val="none"/>
              </w:rPr>
              <w:t>项目负责人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w:t>
            </w:r>
            <w:r>
              <w:rPr>
                <w:rFonts w:hint="eastAsia" w:ascii="宋体" w:hAnsi="宋体" w:cs="宋体"/>
                <w:bCs/>
                <w:color w:val="auto"/>
                <w:sz w:val="21"/>
                <w:szCs w:val="21"/>
                <w:highlight w:val="none"/>
                <w:lang w:val="en-US" w:eastAsia="zh-CN"/>
              </w:rPr>
              <w:t>、安全目标</w:t>
            </w:r>
            <w:r>
              <w:rPr>
                <w:rFonts w:hint="eastAsia" w:ascii="宋体" w:hAnsi="宋体" w:eastAsia="宋体" w:cs="宋体"/>
                <w:bCs/>
                <w:color w:val="auto"/>
                <w:sz w:val="21"/>
                <w:szCs w:val="21"/>
                <w:highlight w:val="none"/>
              </w:rPr>
              <w:t>；</w:t>
            </w:r>
          </w:p>
          <w:p w14:paraId="5EF8046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14:paraId="091A745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376AD55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14:paraId="3C56247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（4）投标人法定代表人授权委托代理人签署投标文件的，须提交授权委托书，</w:t>
            </w:r>
            <w:r>
              <w:rPr>
                <w:rFonts w:hint="eastAsia" w:ascii="宋体" w:hAnsi="宋体" w:eastAsia="宋体" w:cs="宋体"/>
                <w:bCs/>
                <w:color w:val="auto"/>
                <w:sz w:val="21"/>
                <w:szCs w:val="21"/>
                <w:highlight w:val="none"/>
                <w:lang w:val="en-US" w:eastAsia="zh-CN"/>
              </w:rPr>
              <w:t>授权委托书的签字盖章符合招标文件规定</w:t>
            </w:r>
            <w:r>
              <w:rPr>
                <w:rFonts w:hint="eastAsia" w:ascii="宋体" w:hAnsi="宋体" w:eastAsia="宋体" w:cs="宋体"/>
                <w:bCs/>
                <w:color w:val="auto"/>
                <w:sz w:val="21"/>
                <w:szCs w:val="21"/>
                <w:highlight w:val="none"/>
                <w:lang w:eastAsia="zh-CN"/>
              </w:rPr>
              <w:t>。</w:t>
            </w:r>
          </w:p>
          <w:p w14:paraId="59FF6E1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（5）投标人法定代表人亲自签署投标文件的，提供了法定代表人身份证明，并符合招标文件的规定。</w:t>
            </w:r>
          </w:p>
          <w:p w14:paraId="5FA931F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w:t>
            </w:r>
            <w:r>
              <w:rPr>
                <w:rFonts w:hint="eastAsia" w:ascii="宋体" w:hAnsi="宋体" w:eastAsia="宋体" w:cs="宋体"/>
                <w:sz w:val="21"/>
                <w:szCs w:val="21"/>
                <w:highlight w:val="none"/>
              </w:rPr>
              <w:t>投标人以联合体形式投标时，联合体满足招标文件的要求</w:t>
            </w:r>
            <w:r>
              <w:rPr>
                <w:rFonts w:hint="eastAsia" w:ascii="宋体" w:hAnsi="宋体" w:eastAsia="宋体" w:cs="宋体"/>
                <w:bCs/>
                <w:color w:val="auto"/>
                <w:sz w:val="21"/>
                <w:szCs w:val="21"/>
                <w:highlight w:val="none"/>
              </w:rPr>
              <w:t>。</w:t>
            </w:r>
          </w:p>
          <w:p w14:paraId="1791986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14:paraId="3355582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）同一投标人未提交两个以上不同的投标文件。</w:t>
            </w:r>
          </w:p>
          <w:p w14:paraId="02D7494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）投标文件第一信封中未出现有关投标报价的内容。</w:t>
            </w:r>
          </w:p>
          <w:p w14:paraId="5337F98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）投标文件载明的招标项目完成期限</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招标文件规定。</w:t>
            </w:r>
          </w:p>
          <w:p w14:paraId="33DC294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）投标文件对招标文件的实质性要求和条件作出响应。</w:t>
            </w:r>
          </w:p>
          <w:p w14:paraId="175CE7B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14:paraId="4A45C0E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164CD61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5F87344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14:paraId="4A653C2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5D11E0A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199A8BB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14:paraId="2DF0FC8B">
            <w:pPr>
              <w:pStyle w:val="10"/>
              <w:keepNext w:val="0"/>
              <w:keepLines w:val="0"/>
              <w:pageBreakBefore w:val="0"/>
              <w:widowControl w:val="0"/>
              <w:kinsoku/>
              <w:wordWrap/>
              <w:overflowPunct/>
              <w:topLinePunct w:val="0"/>
              <w:autoSpaceDE/>
              <w:autoSpaceDN/>
              <w:bidi w:val="0"/>
              <w:adjustRightInd/>
              <w:snapToGrid w:val="0"/>
              <w:spacing w:line="320" w:lineRule="exact"/>
              <w:ind w:left="0" w:leftChars="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（13）投标人不存在投标人须知前附表4.4(1)、(3)项规定的情形。</w:t>
            </w:r>
          </w:p>
          <w:p w14:paraId="32FE0CCD">
            <w:pPr>
              <w:pStyle w:val="10"/>
              <w:keepNext w:val="0"/>
              <w:keepLines w:val="0"/>
              <w:pageBreakBefore w:val="0"/>
              <w:widowControl w:val="0"/>
              <w:kinsoku/>
              <w:wordWrap/>
              <w:overflowPunct/>
              <w:topLinePunct w:val="0"/>
              <w:autoSpaceDE/>
              <w:autoSpaceDN/>
              <w:bidi w:val="0"/>
              <w:adjustRightInd/>
              <w:snapToGrid w:val="0"/>
              <w:spacing w:line="320" w:lineRule="exact"/>
              <w:ind w:left="0" w:leftChars="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w:t>
            </w:r>
            <w:r>
              <w:rPr>
                <w:rFonts w:hint="eastAsia" w:ascii="宋体" w:hAnsi="宋体" w:eastAsia="宋体" w:cs="宋体"/>
                <w:sz w:val="21"/>
                <w:szCs w:val="21"/>
                <w:highlight w:val="none"/>
                <w:lang w:eastAsia="zh-CN"/>
              </w:rPr>
              <w:t>投标人不存在因投标人须知前附表4.4(2)项规定的情形被评标委员会认定为投标文件异常一致或投标活动异常关联活动情形</w:t>
            </w:r>
            <w:r>
              <w:rPr>
                <w:rFonts w:hint="eastAsia" w:ascii="宋体" w:hAnsi="宋体" w:eastAsia="宋体" w:cs="宋体"/>
                <w:sz w:val="21"/>
                <w:szCs w:val="21"/>
                <w:highlight w:val="none"/>
              </w:rPr>
              <w:t>。</w:t>
            </w:r>
          </w:p>
          <w:p w14:paraId="1B6E0A4D">
            <w:pPr>
              <w:tabs>
                <w:tab w:val="left" w:pos="3060"/>
              </w:tabs>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第一个信封（技术文件）评审标准（暗标）：</w:t>
            </w:r>
          </w:p>
          <w:p w14:paraId="7CBA43C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bCs/>
                <w:sz w:val="21"/>
                <w:szCs w:val="21"/>
                <w:highlight w:val="none"/>
                <w:lang w:eastAsia="zh-CN"/>
              </w:rPr>
              <w:t>（1）实施方案（暗标）编制符合招标文件第二章“投标人须知前附表”第10.3款的规定。</w:t>
            </w:r>
          </w:p>
          <w:p w14:paraId="7A9C0CE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6A8F227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14:paraId="397D627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补遗书编号（如有）、投标</w:t>
            </w:r>
            <w:r>
              <w:rPr>
                <w:rFonts w:hint="eastAsia" w:ascii="宋体" w:hAnsi="宋体" w:eastAsia="宋体" w:cs="宋体"/>
                <w:bCs/>
                <w:color w:val="auto"/>
                <w:sz w:val="21"/>
                <w:szCs w:val="21"/>
                <w:highlight w:val="none"/>
                <w:lang w:eastAsia="zh-CN"/>
              </w:rPr>
              <w:t>报</w:t>
            </w:r>
            <w:r>
              <w:rPr>
                <w:rFonts w:hint="eastAsia" w:ascii="宋体" w:hAnsi="宋体" w:eastAsia="宋体" w:cs="宋体"/>
                <w:bCs/>
                <w:color w:val="auto"/>
                <w:sz w:val="21"/>
                <w:szCs w:val="21"/>
                <w:highlight w:val="none"/>
              </w:rPr>
              <w:t>价（包括大写金额和小写金额）；</w:t>
            </w:r>
          </w:p>
          <w:p w14:paraId="0B4FA62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b.</w:t>
            </w:r>
            <w:r>
              <w:rPr>
                <w:rFonts w:hint="eastAsia" w:ascii="宋体" w:hAnsi="宋体" w:cs="宋体"/>
                <w:bCs/>
                <w:color w:val="auto"/>
                <w:sz w:val="21"/>
                <w:szCs w:val="21"/>
                <w:highlight w:val="none"/>
                <w:lang w:val="en-US" w:eastAsia="zh-CN"/>
              </w:rPr>
              <w:t>报价清单</w:t>
            </w:r>
            <w:r>
              <w:rPr>
                <w:rFonts w:hint="eastAsia" w:ascii="宋体" w:hAnsi="宋体" w:eastAsia="宋体" w:cs="宋体"/>
                <w:bCs/>
                <w:color w:val="auto"/>
                <w:sz w:val="21"/>
                <w:szCs w:val="21"/>
                <w:highlight w:val="none"/>
                <w:lang w:val="en-US" w:eastAsia="zh-CN"/>
              </w:rPr>
              <w:t>说明文字与招标文件规定一致，未进行实质性修改和删减；</w:t>
            </w:r>
          </w:p>
          <w:p w14:paraId="6EED891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c</w:t>
            </w:r>
            <w:r>
              <w:rPr>
                <w:rFonts w:hint="eastAsia" w:ascii="宋体" w:hAnsi="宋体" w:eastAsia="宋体" w:cs="宋体"/>
                <w:bCs/>
                <w:color w:val="auto"/>
                <w:sz w:val="21"/>
                <w:szCs w:val="21"/>
                <w:highlight w:val="none"/>
              </w:rPr>
              <w:t>．投标文件组成齐全完整，内容均按规定填写。</w:t>
            </w:r>
          </w:p>
          <w:p w14:paraId="383C694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394486F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投标报价未超过招标文件设定的最高投标限价</w:t>
            </w:r>
            <w:r>
              <w:rPr>
                <w:rFonts w:hint="eastAsia" w:ascii="宋体" w:hAnsi="宋体" w:eastAsia="宋体" w:cs="宋体"/>
                <w:bCs/>
                <w:color w:val="auto"/>
                <w:sz w:val="21"/>
                <w:szCs w:val="21"/>
                <w:highlight w:val="none"/>
              </w:rPr>
              <w:t>。</w:t>
            </w:r>
          </w:p>
          <w:p w14:paraId="4026377A">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14:paraId="0BF2CD6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14:paraId="7E13258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en-US"/>
              </w:rPr>
              <w:t>（6）</w:t>
            </w:r>
            <w:r>
              <w:rPr>
                <w:rFonts w:hint="eastAsia" w:ascii="宋体" w:hAnsi="宋体" w:cs="宋体"/>
                <w:bCs/>
                <w:color w:val="auto"/>
                <w:sz w:val="21"/>
                <w:szCs w:val="21"/>
                <w:highlight w:val="none"/>
                <w:lang w:val="en-US" w:eastAsia="zh-CN"/>
              </w:rPr>
              <w:t>报价清单</w:t>
            </w:r>
            <w:r>
              <w:rPr>
                <w:rFonts w:hint="eastAsia" w:ascii="宋体" w:hAnsi="宋体" w:eastAsia="宋体" w:cs="宋体"/>
                <w:bCs/>
                <w:color w:val="auto"/>
                <w:sz w:val="21"/>
                <w:szCs w:val="21"/>
                <w:highlight w:val="none"/>
                <w:lang w:val="en-US" w:eastAsia="zh-CN"/>
              </w:rPr>
              <w:t>表</w:t>
            </w:r>
            <w:r>
              <w:rPr>
                <w:rFonts w:hint="eastAsia" w:ascii="宋体" w:hAnsi="宋体" w:eastAsia="宋体" w:cs="宋体"/>
                <w:bCs/>
                <w:color w:val="auto"/>
                <w:sz w:val="21"/>
                <w:szCs w:val="21"/>
                <w:highlight w:val="none"/>
                <w:lang w:val="en-US" w:eastAsia="en-US"/>
              </w:rPr>
              <w:t>中投标报价与投标函</w:t>
            </w:r>
            <w:r>
              <w:rPr>
                <w:rFonts w:hint="eastAsia" w:ascii="宋体" w:hAnsi="宋体" w:eastAsia="宋体" w:cs="宋体"/>
                <w:bCs/>
                <w:color w:val="auto"/>
                <w:sz w:val="21"/>
                <w:szCs w:val="21"/>
                <w:highlight w:val="none"/>
                <w:lang w:val="en-US" w:eastAsia="zh-CN"/>
              </w:rPr>
              <w:t>中投标报价</w:t>
            </w:r>
            <w:r>
              <w:rPr>
                <w:rFonts w:hint="eastAsia" w:ascii="宋体" w:hAnsi="宋体" w:eastAsia="宋体" w:cs="宋体"/>
                <w:bCs/>
                <w:color w:val="auto"/>
                <w:sz w:val="21"/>
                <w:szCs w:val="21"/>
                <w:highlight w:val="none"/>
                <w:lang w:val="en-US" w:eastAsia="en-US"/>
              </w:rPr>
              <w:t>大写金额一致。</w:t>
            </w:r>
          </w:p>
          <w:p w14:paraId="5E5D092A">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）投标人不存在投标人须知前附表4.4(1)、(3)项规定的情形。</w:t>
            </w:r>
          </w:p>
          <w:p w14:paraId="78AFCE0D">
            <w:pPr>
              <w:keepNext w:val="0"/>
              <w:keepLines w:val="0"/>
              <w:pageBreakBefore w:val="0"/>
              <w:widowControl w:val="0"/>
              <w:suppressLineNumbers w:val="0"/>
              <w:tabs>
                <w:tab w:val="left" w:pos="3060"/>
              </w:tabs>
              <w:kinsoku/>
              <w:wordWrap/>
              <w:overflowPunct/>
              <w:topLinePunct w:val="0"/>
              <w:autoSpaceDE/>
              <w:autoSpaceDN/>
              <w:bidi w:val="0"/>
              <w:adjustRightInd/>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w:t>
            </w:r>
            <w:r>
              <w:rPr>
                <w:rFonts w:hint="eastAsia" w:ascii="宋体" w:hAnsi="宋体" w:eastAsia="宋体" w:cs="宋体"/>
                <w:sz w:val="21"/>
                <w:szCs w:val="21"/>
                <w:highlight w:val="none"/>
                <w:lang w:eastAsia="zh-CN"/>
              </w:rPr>
              <w:t>投标人不存在因投标人须知前附表4.4(2)项规定的情形被评标委员会认定为投标文件异常一致或投标活动异常关联活动情形</w:t>
            </w:r>
            <w:r>
              <w:rPr>
                <w:rFonts w:hint="eastAsia" w:ascii="宋体" w:hAnsi="宋体" w:eastAsia="宋体" w:cs="宋体"/>
                <w:bCs/>
                <w:color w:val="auto"/>
                <w:sz w:val="21"/>
                <w:szCs w:val="21"/>
                <w:highlight w:val="none"/>
              </w:rPr>
              <w:t>。</w:t>
            </w:r>
          </w:p>
          <w:p w14:paraId="487C953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en-US"/>
              </w:rPr>
              <w:t>（</w:t>
            </w: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en-US" w:eastAsia="en-US"/>
              </w:rPr>
              <w:t>）投标人不存在因投标人须知前附表3.2.</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en-US"/>
              </w:rPr>
              <w:t>项规定被评标委员会认定为低于成本或影响履约的异常低价竞标的情形</w:t>
            </w:r>
            <w:r>
              <w:rPr>
                <w:rFonts w:hint="eastAsia" w:ascii="宋体" w:hAnsi="宋体" w:eastAsia="宋体" w:cs="宋体"/>
                <w:bCs/>
                <w:color w:val="auto"/>
                <w:sz w:val="21"/>
                <w:szCs w:val="21"/>
                <w:highlight w:val="none"/>
              </w:rPr>
              <w:t>。</w:t>
            </w:r>
          </w:p>
          <w:p w14:paraId="52A8F3B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rPr>
              <w:t>）以联合体形式参与投标的，联合体各方均未再以自己名义单独或参加其他联合体的投标</w:t>
            </w:r>
            <w:r>
              <w:rPr>
                <w:rFonts w:hint="eastAsia" w:ascii="宋体" w:hAnsi="宋体" w:eastAsia="宋体" w:cs="宋体"/>
                <w:sz w:val="21"/>
                <w:szCs w:val="21"/>
                <w:highlight w:val="none"/>
              </w:rPr>
              <w:t>；独立参与投标的，投标人未同时参加联合体的投标。</w:t>
            </w:r>
          </w:p>
        </w:tc>
      </w:tr>
      <w:tr w14:paraId="6315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3006" w:hRule="atLeast"/>
        </w:trPr>
        <w:tc>
          <w:tcPr>
            <w:tcW w:w="423" w:type="pct"/>
            <w:vAlign w:val="center"/>
          </w:tcPr>
          <w:p w14:paraId="57FEC146">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784" w:type="pct"/>
            <w:vAlign w:val="center"/>
          </w:tcPr>
          <w:p w14:paraId="06816A5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782" w:type="pct"/>
            <w:vAlign w:val="top"/>
          </w:tcPr>
          <w:p w14:paraId="7B1B05E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（1）投标人具备有效的营业执照副本、资质证书和基本账户开户许可证（或基本存款账户信息）；</w:t>
            </w:r>
          </w:p>
          <w:p w14:paraId="09BF99B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（2）投标人的资质等级符合招标文件规定；</w:t>
            </w:r>
          </w:p>
          <w:p w14:paraId="255DE5A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（3）投标人的类似项目业绩符合招标文件规定；</w:t>
            </w:r>
          </w:p>
          <w:p w14:paraId="09C2352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（4）投标人的信誉符合招标文件规定；</w:t>
            </w:r>
          </w:p>
          <w:p w14:paraId="727B4D2A">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w:t>
            </w:r>
            <w:r>
              <w:rPr>
                <w:rFonts w:hint="eastAsia" w:ascii="宋体" w:hAnsi="宋体" w:cs="宋体"/>
                <w:sz w:val="21"/>
                <w:szCs w:val="21"/>
                <w:highlight w:val="none"/>
                <w:lang w:val="en-US" w:eastAsia="zh-CN"/>
              </w:rPr>
              <w:t>主要人员</w:t>
            </w:r>
            <w:r>
              <w:rPr>
                <w:rFonts w:hint="eastAsia" w:ascii="宋体" w:hAnsi="宋体" w:eastAsia="宋体" w:cs="宋体"/>
                <w:sz w:val="21"/>
                <w:szCs w:val="21"/>
                <w:highlight w:val="none"/>
              </w:rPr>
              <w:t>资格符合招标文件规定；</w:t>
            </w:r>
          </w:p>
          <w:p w14:paraId="79CB5ED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）投标人不存在第二章“投标人须知”1.4.3项或第1.4.4项规定的任何一种情形。</w:t>
            </w:r>
          </w:p>
        </w:tc>
      </w:tr>
      <w:tr w14:paraId="59FA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Pr>
        <w:tc>
          <w:tcPr>
            <w:tcW w:w="423" w:type="pct"/>
            <w:vAlign w:val="center"/>
          </w:tcPr>
          <w:p w14:paraId="36B26E8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784" w:type="pct"/>
            <w:vAlign w:val="center"/>
          </w:tcPr>
          <w:p w14:paraId="53BE551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782" w:type="pct"/>
            <w:shd w:val="clear" w:color="auto" w:fill="auto"/>
            <w:vAlign w:val="center"/>
          </w:tcPr>
          <w:p w14:paraId="2AD375E2">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第一个信封（商务及技术文件）评分分值构成：</w:t>
            </w:r>
          </w:p>
          <w:p w14:paraId="709627EB">
            <w:pPr>
              <w:snapToGrid w:val="0"/>
              <w:spacing w:line="320" w:lineRule="exact"/>
              <w:rPr>
                <w:rFonts w:hint="default" w:ascii="宋体" w:hAnsi="宋体"/>
                <w:b/>
                <w:sz w:val="21"/>
                <w:szCs w:val="21"/>
                <w:highlight w:val="none"/>
                <w:lang w:val="en-US" w:eastAsia="zh-CN"/>
              </w:rPr>
            </w:pPr>
            <w:r>
              <w:rPr>
                <w:rFonts w:hint="eastAsia" w:ascii="宋体" w:hAnsi="宋体"/>
                <w:b/>
                <w:sz w:val="21"/>
                <w:szCs w:val="21"/>
                <w:highlight w:val="none"/>
                <w:lang w:eastAsia="zh-CN"/>
              </w:rPr>
              <w:t>实施方案：</w:t>
            </w:r>
            <w:r>
              <w:rPr>
                <w:rFonts w:hint="eastAsia" w:ascii="宋体" w:hAnsi="宋体"/>
                <w:b/>
                <w:sz w:val="21"/>
                <w:szCs w:val="21"/>
                <w:highlight w:val="none"/>
                <w:u w:val="single"/>
                <w:lang w:eastAsia="zh-CN"/>
              </w:rPr>
              <w:t>40</w:t>
            </w:r>
            <w:r>
              <w:rPr>
                <w:rFonts w:hint="eastAsia" w:ascii="宋体" w:hAnsi="宋体"/>
                <w:b/>
                <w:sz w:val="21"/>
                <w:szCs w:val="21"/>
                <w:highlight w:val="none"/>
                <w:lang w:eastAsia="zh-CN"/>
              </w:rPr>
              <w:t>分（</w:t>
            </w:r>
            <w:r>
              <w:rPr>
                <w:rFonts w:hint="eastAsia" w:ascii="宋体" w:hAnsi="宋体"/>
                <w:b/>
                <w:sz w:val="21"/>
                <w:szCs w:val="21"/>
                <w:highlight w:val="none"/>
                <w:lang w:val="en-US" w:eastAsia="zh-CN"/>
              </w:rPr>
              <w:t>暗标）</w:t>
            </w:r>
          </w:p>
          <w:p w14:paraId="6F0E889F">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主要人员：</w:t>
            </w:r>
            <w:r>
              <w:rPr>
                <w:rFonts w:hint="eastAsia" w:ascii="宋体" w:hAnsi="宋体"/>
                <w:b/>
                <w:sz w:val="21"/>
                <w:szCs w:val="21"/>
                <w:highlight w:val="none"/>
                <w:u w:val="single"/>
                <w:lang w:eastAsia="zh-CN"/>
              </w:rPr>
              <w:t>10</w:t>
            </w:r>
            <w:r>
              <w:rPr>
                <w:rFonts w:hint="eastAsia" w:ascii="宋体" w:hAnsi="宋体"/>
                <w:b/>
                <w:sz w:val="21"/>
                <w:szCs w:val="21"/>
                <w:highlight w:val="none"/>
                <w:lang w:eastAsia="zh-CN"/>
              </w:rPr>
              <w:t>分</w:t>
            </w:r>
          </w:p>
          <w:p w14:paraId="20BAE649">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其他因素：</w:t>
            </w:r>
            <w:r>
              <w:rPr>
                <w:rFonts w:hint="eastAsia" w:ascii="宋体" w:hAnsi="宋体"/>
                <w:b/>
                <w:sz w:val="21"/>
                <w:szCs w:val="21"/>
                <w:highlight w:val="none"/>
                <w:u w:val="single"/>
                <w:lang w:eastAsia="zh-CN"/>
              </w:rPr>
              <w:t>20</w:t>
            </w:r>
            <w:r>
              <w:rPr>
                <w:rFonts w:hint="eastAsia" w:ascii="宋体" w:hAnsi="宋体"/>
                <w:b/>
                <w:sz w:val="21"/>
                <w:szCs w:val="21"/>
                <w:highlight w:val="none"/>
                <w:lang w:eastAsia="zh-CN"/>
              </w:rPr>
              <w:t>分</w:t>
            </w:r>
          </w:p>
          <w:p w14:paraId="544DF1D0">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第二个信封（报价文件）评分分值构成：</w:t>
            </w:r>
          </w:p>
          <w:p w14:paraId="079A3E06">
            <w:pPr>
              <w:snapToGrid w:val="0"/>
              <w:spacing w:line="320" w:lineRule="exact"/>
              <w:rPr>
                <w:rFonts w:hint="eastAsia" w:ascii="宋体" w:hAnsi="宋体" w:eastAsia="宋体" w:cs="宋体"/>
                <w:b/>
                <w:sz w:val="21"/>
                <w:szCs w:val="21"/>
                <w:highlight w:val="none"/>
                <w:lang w:val="en-US" w:eastAsia="en-US" w:bidi="ar-SA"/>
              </w:rPr>
            </w:pPr>
            <w:r>
              <w:rPr>
                <w:rFonts w:hint="eastAsia" w:ascii="宋体" w:hAnsi="宋体"/>
                <w:b/>
                <w:sz w:val="21"/>
                <w:szCs w:val="21"/>
                <w:highlight w:val="none"/>
              </w:rPr>
              <w:t>评标价：</w:t>
            </w:r>
            <w:r>
              <w:rPr>
                <w:rFonts w:hint="eastAsia" w:ascii="宋体" w:hAnsi="宋体"/>
                <w:b/>
                <w:sz w:val="21"/>
                <w:szCs w:val="21"/>
                <w:highlight w:val="none"/>
                <w:u w:val="single"/>
                <w:lang w:eastAsia="zh-CN"/>
              </w:rPr>
              <w:t>3</w:t>
            </w:r>
            <w:r>
              <w:rPr>
                <w:rFonts w:hint="eastAsia" w:ascii="宋体" w:hAnsi="宋体"/>
                <w:b/>
                <w:sz w:val="21"/>
                <w:szCs w:val="21"/>
                <w:highlight w:val="none"/>
                <w:u w:val="single"/>
              </w:rPr>
              <w:t>0</w:t>
            </w:r>
            <w:r>
              <w:rPr>
                <w:rFonts w:hint="eastAsia" w:ascii="宋体" w:hAnsi="宋体"/>
                <w:b/>
                <w:sz w:val="21"/>
                <w:szCs w:val="21"/>
                <w:highlight w:val="none"/>
              </w:rPr>
              <w:t>分</w:t>
            </w:r>
          </w:p>
        </w:tc>
      </w:tr>
      <w:tr w14:paraId="7CF6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1027" w:hRule="atLeast"/>
        </w:trPr>
        <w:tc>
          <w:tcPr>
            <w:tcW w:w="423" w:type="pct"/>
            <w:vAlign w:val="center"/>
          </w:tcPr>
          <w:p w14:paraId="2AE61B4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784" w:type="pct"/>
            <w:vAlign w:val="center"/>
          </w:tcPr>
          <w:p w14:paraId="6A88FA0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782" w:type="pct"/>
            <w:vAlign w:val="center"/>
          </w:tcPr>
          <w:p w14:paraId="0C9A5C7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评标基准价的计算</w:t>
            </w:r>
            <w:r>
              <w:rPr>
                <w:rFonts w:hint="eastAsia" w:ascii="宋体" w:hAnsi="宋体" w:eastAsia="宋体" w:cs="宋体"/>
                <w:sz w:val="21"/>
                <w:szCs w:val="21"/>
                <w:highlight w:val="none"/>
              </w:rPr>
              <w:t>：</w:t>
            </w:r>
          </w:p>
          <w:p w14:paraId="5B9D126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在第二个信封开标现场，招标人当场计算并宣布评标基准价。</w:t>
            </w:r>
          </w:p>
          <w:p w14:paraId="1DAFE05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53891BA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w:t>
            </w:r>
          </w:p>
          <w:p w14:paraId="1E5F4E7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1215C8C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56016B4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17F4B14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评标价平均值直接作为评标基准价（评标基准价保留小数点后两位，小数点后第三位四舍五入）。</w:t>
            </w:r>
          </w:p>
          <w:p w14:paraId="62661159">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0FF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Pr>
        <w:tc>
          <w:tcPr>
            <w:tcW w:w="423" w:type="pct"/>
            <w:vAlign w:val="center"/>
          </w:tcPr>
          <w:p w14:paraId="0CFB3D3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784" w:type="pct"/>
            <w:vAlign w:val="center"/>
          </w:tcPr>
          <w:p w14:paraId="58B0196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782" w:type="pct"/>
            <w:vAlign w:val="center"/>
          </w:tcPr>
          <w:p w14:paraId="4BD01B1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7204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1728" w:hRule="atLeast"/>
        </w:trPr>
        <w:tc>
          <w:tcPr>
            <w:tcW w:w="423" w:type="pct"/>
            <w:vAlign w:val="center"/>
          </w:tcPr>
          <w:p w14:paraId="4EE63FB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3.5.3</w:t>
            </w:r>
          </w:p>
        </w:tc>
        <w:tc>
          <w:tcPr>
            <w:tcW w:w="784" w:type="pct"/>
            <w:vAlign w:val="center"/>
          </w:tcPr>
          <w:p w14:paraId="16BCCD5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异常低价</w:t>
            </w:r>
          </w:p>
        </w:tc>
        <w:tc>
          <w:tcPr>
            <w:tcW w:w="3782" w:type="pct"/>
            <w:vAlign w:val="center"/>
          </w:tcPr>
          <w:p w14:paraId="00227941">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本款修改为：</w:t>
            </w:r>
          </w:p>
          <w:p w14:paraId="67EE9D7F">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sz w:val="21"/>
                <w:szCs w:val="21"/>
                <w:highlight w:val="none"/>
                <w:lang w:eastAsia="zh-CN"/>
              </w:rPr>
              <w:t>投标人存在投标人须知前附表3.2.5项情形的，评标委员会应当</w:t>
            </w:r>
            <w:r>
              <w:rPr>
                <w:rFonts w:hint="eastAsia" w:ascii="宋体" w:hAnsi="宋体"/>
                <w:sz w:val="21"/>
                <w:szCs w:val="21"/>
                <w:highlight w:val="none"/>
                <w:lang w:val="en-US" w:eastAsia="zh-CN"/>
              </w:rPr>
              <w:t>要求</w:t>
            </w:r>
            <w:r>
              <w:rPr>
                <w:rFonts w:hint="eastAsia" w:ascii="宋体" w:hAnsi="宋体"/>
                <w:sz w:val="21"/>
                <w:szCs w:val="21"/>
                <w:highlight w:val="none"/>
                <w:lang w:eastAsia="zh-CN"/>
              </w:rPr>
              <w:t>投标人作出书面说明并提供相应的证明材料。投标人不能合理说明或者不能提供相应证明材料的，评标委员会应当认定该投标人以低于成本或影响履约的异常低价竞标，否决其投标。</w:t>
            </w:r>
          </w:p>
        </w:tc>
      </w:tr>
      <w:tr w14:paraId="7506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3793" w:hRule="atLeast"/>
        </w:trPr>
        <w:tc>
          <w:tcPr>
            <w:tcW w:w="766" w:type="dxa"/>
            <w:vAlign w:val="center"/>
          </w:tcPr>
          <w:p w14:paraId="26D0519C">
            <w:pPr>
              <w:snapToGrid w:val="0"/>
              <w:spacing w:line="320" w:lineRule="exact"/>
              <w:jc w:val="center"/>
              <w:rPr>
                <w:rFonts w:hint="eastAsia" w:ascii="宋体" w:hAnsi="宋体" w:eastAsia="宋体" w:cs="宋体"/>
                <w:color w:val="auto"/>
                <w:sz w:val="21"/>
                <w:szCs w:val="21"/>
                <w:highlight w:val="none"/>
              </w:rPr>
            </w:pPr>
            <w:r>
              <w:rPr>
                <w:rFonts w:hint="eastAsia" w:ascii="宋体" w:hAnsi="宋体"/>
                <w:sz w:val="21"/>
                <w:szCs w:val="21"/>
                <w:highlight w:val="none"/>
              </w:rPr>
              <w:t>3.6.1</w:t>
            </w:r>
          </w:p>
        </w:tc>
        <w:tc>
          <w:tcPr>
            <w:tcW w:w="1422" w:type="dxa"/>
            <w:vAlign w:val="center"/>
          </w:tcPr>
          <w:p w14:paraId="1B70A182">
            <w:pPr>
              <w:adjustRightInd w:val="0"/>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信息</w:t>
            </w:r>
          </w:p>
          <w:p w14:paraId="3E280E7F">
            <w:pPr>
              <w:adjustRightInd w:val="0"/>
              <w:snapToGrid w:val="0"/>
              <w:spacing w:line="320" w:lineRule="exact"/>
              <w:jc w:val="center"/>
              <w:rPr>
                <w:rFonts w:hint="eastAsia" w:ascii="宋体" w:hAnsi="宋体" w:eastAsia="宋体" w:cs="宋体"/>
                <w:color w:val="auto"/>
                <w:sz w:val="21"/>
                <w:szCs w:val="21"/>
                <w:highlight w:val="none"/>
              </w:rPr>
            </w:pPr>
            <w:r>
              <w:rPr>
                <w:rFonts w:hint="eastAsia" w:ascii="宋体" w:hAnsi="宋体"/>
                <w:sz w:val="21"/>
                <w:szCs w:val="21"/>
                <w:highlight w:val="none"/>
              </w:rPr>
              <w:t>查询</w:t>
            </w:r>
          </w:p>
        </w:tc>
        <w:tc>
          <w:tcPr>
            <w:tcW w:w="6853" w:type="dxa"/>
            <w:vAlign w:val="center"/>
          </w:tcPr>
          <w:p w14:paraId="6A6B96EF">
            <w:pPr>
              <w:autoSpaceDE w:val="0"/>
              <w:autoSpaceDN w:val="0"/>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本款修改为：</w:t>
            </w:r>
          </w:p>
          <w:p w14:paraId="2B5B3906">
            <w:pPr>
              <w:autoSpaceDE w:val="0"/>
              <w:autoSpaceDN w:val="0"/>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在评标过程中，评标委员会应对以下信息进行查询：</w:t>
            </w:r>
          </w:p>
          <w:p w14:paraId="3F42E4AE">
            <w:pPr>
              <w:autoSpaceDE w:val="0"/>
              <w:autoSpaceDN w:val="0"/>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1）投标人信用情况网页截图内容与在“国家企业信用信息公示系统”中严重违法失信名单（黑名单）（不含分公司）或在“信用中国”网站中经营（活动）异常名录、重大税收违法失信主体名单、政府采购严重违法失信行为记录名单（</w:t>
            </w:r>
            <w:r>
              <w:rPr>
                <w:rFonts w:hint="eastAsia" w:ascii="宋体" w:hAnsi="宋体"/>
                <w:sz w:val="21"/>
                <w:szCs w:val="21"/>
                <w:highlight w:val="none"/>
                <w:lang w:val="en-US" w:eastAsia="zh-CN"/>
              </w:rPr>
              <w:t>均</w:t>
            </w:r>
            <w:r>
              <w:rPr>
                <w:rFonts w:hint="eastAsia" w:ascii="宋体" w:hAnsi="宋体"/>
                <w:sz w:val="21"/>
                <w:szCs w:val="21"/>
                <w:highlight w:val="none"/>
                <w:lang w:eastAsia="zh-CN"/>
              </w:rPr>
              <w:t>不含分公司）</w:t>
            </w:r>
            <w:r>
              <w:rPr>
                <w:rFonts w:hint="eastAsia" w:ascii="宋体" w:hAnsi="宋体"/>
                <w:sz w:val="21"/>
                <w:szCs w:val="21"/>
                <w:highlight w:val="none"/>
                <w:lang w:val="en-US" w:eastAsia="zh-CN"/>
              </w:rPr>
              <w:t>或“</w:t>
            </w:r>
            <w:r>
              <w:rPr>
                <w:rFonts w:hint="eastAsia" w:ascii="宋体" w:hAnsi="宋体"/>
                <w:sz w:val="21"/>
                <w:szCs w:val="21"/>
                <w:highlight w:val="none"/>
                <w:lang w:eastAsia="zh-CN"/>
              </w:rPr>
              <w:t>中国执行信息公开网”中失信被执行人（不含分公司）的复核结果一致。如投标人未提供相关网页截图或所附截图与复核结果不一致导致不能满足资格评审要求的，评标委员会应否决其投标。</w:t>
            </w:r>
          </w:p>
          <w:p w14:paraId="09DD9DA2">
            <w:pPr>
              <w:autoSpaceDE w:val="0"/>
              <w:autoSpaceDN w:val="0"/>
              <w:snapToGrid w:val="0"/>
              <w:spacing w:line="320" w:lineRule="exact"/>
              <w:ind w:firstLine="420" w:firstLineChars="200"/>
              <w:rPr>
                <w:rFonts w:hint="eastAsia" w:ascii="宋体" w:hAnsi="宋体" w:eastAsia="宋体" w:cs="宋体"/>
                <w:sz w:val="21"/>
                <w:szCs w:val="21"/>
                <w:highlight w:val="none"/>
              </w:rPr>
            </w:pPr>
            <w:r>
              <w:rPr>
                <w:rFonts w:hint="eastAsia" w:ascii="宋体" w:hAnsi="宋体"/>
                <w:sz w:val="21"/>
                <w:szCs w:val="21"/>
                <w:highlight w:val="none"/>
                <w:lang w:eastAsia="zh-CN"/>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357B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1605" w:hRule="atLeast"/>
        </w:trPr>
        <w:tc>
          <w:tcPr>
            <w:tcW w:w="423" w:type="pct"/>
            <w:vAlign w:val="center"/>
          </w:tcPr>
          <w:p w14:paraId="2F6CE9C0">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增加3.6.3</w:t>
            </w:r>
          </w:p>
        </w:tc>
        <w:tc>
          <w:tcPr>
            <w:tcW w:w="784" w:type="pct"/>
            <w:vAlign w:val="center"/>
          </w:tcPr>
          <w:p w14:paraId="0E4C8ADD">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rPr>
              <w:t>投标人其他异常投标情形</w:t>
            </w:r>
          </w:p>
        </w:tc>
        <w:tc>
          <w:tcPr>
            <w:tcW w:w="3782" w:type="pct"/>
            <w:vAlign w:val="center"/>
          </w:tcPr>
          <w:p w14:paraId="7598EE4A">
            <w:pPr>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1.投标人不存在投标人须知前附表4.4（1）、（3）情形。</w:t>
            </w:r>
          </w:p>
          <w:p w14:paraId="780F80ED">
            <w:pPr>
              <w:keepNext w:val="0"/>
              <w:keepLines w:val="0"/>
              <w:pageBreakBefore w:val="0"/>
              <w:widowControl w:val="0"/>
              <w:numPr>
                <w:ilvl w:val="0"/>
                <w:numId w:val="0"/>
              </w:numPr>
              <w:kinsoku/>
              <w:wordWrap/>
              <w:overflowPunct/>
              <w:topLinePunct w:val="0"/>
              <w:bidi w:val="0"/>
              <w:snapToGrid w:val="0"/>
              <w:spacing w:line="32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sz w:val="21"/>
                <w:szCs w:val="21"/>
                <w:highlight w:val="none"/>
                <w:lang w:eastAsia="zh-CN"/>
              </w:rPr>
              <w:t>2.投标人</w:t>
            </w:r>
            <w:r>
              <w:rPr>
                <w:rFonts w:hint="eastAsia" w:ascii="宋体" w:hAnsi="宋体"/>
                <w:color w:val="000000" w:themeColor="text1"/>
                <w:sz w:val="21"/>
                <w:szCs w:val="21"/>
                <w:highlight w:val="none"/>
                <w:lang w:eastAsia="zh-CN"/>
                <w14:textFill>
                  <w14:solidFill>
                    <w14:schemeClr w14:val="tx1"/>
                  </w14:solidFill>
                </w14:textFill>
              </w:rPr>
              <w:t>存在投标人须知前附表4.4（2）情形的，评标委员会应当</w:t>
            </w:r>
            <w:r>
              <w:rPr>
                <w:rFonts w:hint="eastAsia" w:ascii="宋体" w:hAnsi="宋体"/>
                <w:color w:val="000000" w:themeColor="text1"/>
                <w:sz w:val="21"/>
                <w:szCs w:val="21"/>
                <w:highlight w:val="none"/>
                <w:lang w:val="en-US" w:eastAsia="zh-CN"/>
                <w14:textFill>
                  <w14:solidFill>
                    <w14:schemeClr w14:val="tx1"/>
                  </w14:solidFill>
                </w14:textFill>
              </w:rPr>
              <w:t>要求</w:t>
            </w:r>
            <w:r>
              <w:rPr>
                <w:rFonts w:hint="eastAsia" w:ascii="宋体" w:hAnsi="宋体"/>
                <w:color w:val="000000" w:themeColor="text1"/>
                <w:sz w:val="21"/>
                <w:szCs w:val="21"/>
                <w:highlight w:val="none"/>
                <w:lang w:eastAsia="zh-CN"/>
                <w14:textFill>
                  <w14:solidFill>
                    <w14:schemeClr w14:val="tx1"/>
                  </w14:solidFill>
                </w14:textFill>
              </w:rPr>
              <w:t>投标人在规定时间内作出解释说明。评标委员会经核查</w:t>
            </w:r>
            <w:r>
              <w:rPr>
                <w:rFonts w:hint="eastAsia" w:ascii="宋体" w:hAnsi="宋体"/>
                <w:color w:val="000000" w:themeColor="text1"/>
                <w:sz w:val="21"/>
                <w:szCs w:val="21"/>
                <w:highlight w:val="none"/>
                <w:lang w:val="en-US" w:eastAsia="zh-CN"/>
                <w14:textFill>
                  <w14:solidFill>
                    <w14:schemeClr w14:val="tx1"/>
                  </w14:solidFill>
                </w14:textFill>
              </w:rPr>
              <w:t>确认属于</w:t>
            </w:r>
            <w:r>
              <w:rPr>
                <w:rFonts w:hint="eastAsia" w:ascii="宋体" w:hAnsi="宋体" w:cs="宋体"/>
                <w:color w:val="000000" w:themeColor="text1"/>
                <w:sz w:val="21"/>
                <w:szCs w:val="21"/>
                <w:highlight w:val="none"/>
                <w14:textFill>
                  <w14:solidFill>
                    <w14:schemeClr w14:val="tx1"/>
                  </w14:solidFill>
                </w14:textFill>
              </w:rPr>
              <w:t>投标文件异常一致或投标活动异常关联活动情形</w:t>
            </w:r>
            <w:r>
              <w:rPr>
                <w:rFonts w:hint="eastAsia" w:ascii="宋体" w:hAnsi="宋体"/>
                <w:color w:val="000000" w:themeColor="text1"/>
                <w:sz w:val="21"/>
                <w:szCs w:val="21"/>
                <w:highlight w:val="none"/>
                <w:lang w:eastAsia="zh-CN"/>
                <w14:textFill>
                  <w14:solidFill>
                    <w14:schemeClr w14:val="tx1"/>
                  </w14:solidFill>
                </w14:textFill>
              </w:rPr>
              <w:t>的，应否决其投标。</w:t>
            </w:r>
          </w:p>
        </w:tc>
      </w:tr>
      <w:tr w14:paraId="4024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14:paraId="2FF68BD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14:paraId="61632499">
      <w:pPr>
        <w:spacing w:before="46"/>
        <w:rPr>
          <w:highlight w:val="none"/>
        </w:rPr>
      </w:pPr>
    </w:p>
    <w:p w14:paraId="73A29FD0">
      <w:pPr>
        <w:jc w:val="right"/>
        <w:rPr>
          <w:rFonts w:hint="eastAsia" w:ascii="宋体" w:hAnsi="宋体" w:eastAsia="宋体" w:cs="宋体"/>
          <w:color w:val="auto"/>
          <w:highlight w:val="none"/>
        </w:rPr>
      </w:pPr>
      <w:r>
        <w:rPr>
          <w:color w:val="auto"/>
          <w:highlight w:val="none"/>
        </w:rPr>
        <w:br w:type="page"/>
      </w:r>
      <w:r>
        <w:rPr>
          <w:rFonts w:hint="eastAsia" w:ascii="宋体" w:hAnsi="宋体" w:eastAsia="宋体" w:cs="宋体"/>
          <w:color w:val="auto"/>
          <w:highlight w:val="none"/>
        </w:rPr>
        <w:t>续上表</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04"/>
        <w:gridCol w:w="638"/>
        <w:gridCol w:w="1162"/>
        <w:gridCol w:w="725"/>
        <w:gridCol w:w="5382"/>
      </w:tblGrid>
      <w:tr w14:paraId="7285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270" w:type="dxa"/>
            <w:gridSpan w:val="5"/>
            <w:noWrap w:val="0"/>
            <w:vAlign w:val="center"/>
          </w:tcPr>
          <w:p w14:paraId="46331986">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评分因素与权重分值</w:t>
            </w:r>
          </w:p>
        </w:tc>
        <w:tc>
          <w:tcPr>
            <w:tcW w:w="5382" w:type="dxa"/>
            <w:vMerge w:val="restart"/>
            <w:noWrap w:val="0"/>
            <w:vAlign w:val="center"/>
          </w:tcPr>
          <w:p w14:paraId="57CD1C36">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14:paraId="7217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3C166C1A">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146DF143">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7AA4F8D">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34" w:leftChars="-19" w:right="-27" w:rightChars="-15" w:firstLine="1"/>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 权重分值</w:t>
            </w:r>
          </w:p>
        </w:tc>
        <w:tc>
          <w:tcPr>
            <w:tcW w:w="1162" w:type="dxa"/>
            <w:tcBorders>
              <w:top w:val="single" w:color="auto" w:sz="4" w:space="0"/>
              <w:left w:val="single" w:color="auto" w:sz="4" w:space="0"/>
              <w:bottom w:val="single" w:color="auto" w:sz="4" w:space="0"/>
              <w:right w:val="single" w:color="auto" w:sz="4" w:space="0"/>
            </w:tcBorders>
            <w:noWrap w:val="0"/>
            <w:vAlign w:val="center"/>
          </w:tcPr>
          <w:p w14:paraId="06822E32">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Style w:val="11"/>
                <w:rFonts w:hint="eastAsia" w:ascii="宋体" w:hAnsi="宋体" w:eastAsia="宋体" w:cs="宋体"/>
                <w:color w:val="auto"/>
                <w:sz w:val="21"/>
                <w:szCs w:val="21"/>
                <w:highlight w:val="none"/>
              </w:rPr>
              <w:t>各评分因素细分项</w:t>
            </w:r>
          </w:p>
        </w:tc>
        <w:tc>
          <w:tcPr>
            <w:tcW w:w="725" w:type="dxa"/>
            <w:tcBorders>
              <w:left w:val="single" w:color="auto" w:sz="4" w:space="0"/>
            </w:tcBorders>
            <w:noWrap w:val="0"/>
            <w:vAlign w:val="center"/>
          </w:tcPr>
          <w:p w14:paraId="09BA1187">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5382" w:type="dxa"/>
            <w:vMerge w:val="continue"/>
            <w:noWrap w:val="0"/>
            <w:vAlign w:val="center"/>
          </w:tcPr>
          <w:p w14:paraId="1603F4EE">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r>
      <w:tr w14:paraId="1AEA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tcBorders>
              <w:top w:val="single" w:color="auto" w:sz="4" w:space="0"/>
            </w:tcBorders>
            <w:noWrap w:val="0"/>
            <w:vAlign w:val="center"/>
          </w:tcPr>
          <w:p w14:paraId="513D31D6">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2.2.4（1）</w:t>
            </w:r>
          </w:p>
        </w:tc>
        <w:tc>
          <w:tcPr>
            <w:tcW w:w="1004" w:type="dxa"/>
            <w:vMerge w:val="restart"/>
            <w:tcBorders>
              <w:top w:val="single" w:color="auto" w:sz="4" w:space="0"/>
            </w:tcBorders>
            <w:noWrap w:val="0"/>
            <w:vAlign w:val="center"/>
          </w:tcPr>
          <w:p w14:paraId="2A2F6FEE">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hAnsi="宋体"/>
                <w:sz w:val="21"/>
                <w:szCs w:val="21"/>
                <w:highlight w:val="none"/>
              </w:rPr>
            </w:pPr>
            <w:r>
              <w:rPr>
                <w:rFonts w:hint="eastAsia" w:hAnsi="宋体"/>
                <w:sz w:val="21"/>
                <w:szCs w:val="21"/>
                <w:highlight w:val="none"/>
              </w:rPr>
              <w:t>实施</w:t>
            </w:r>
          </w:p>
          <w:p w14:paraId="60151650">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hAnsi="宋体"/>
                <w:sz w:val="21"/>
                <w:szCs w:val="21"/>
                <w:highlight w:val="none"/>
              </w:rPr>
            </w:pPr>
            <w:r>
              <w:rPr>
                <w:rFonts w:hint="eastAsia" w:hAnsi="宋体"/>
                <w:sz w:val="21"/>
                <w:szCs w:val="21"/>
                <w:highlight w:val="none"/>
              </w:rPr>
              <w:t>方案</w:t>
            </w:r>
          </w:p>
          <w:p w14:paraId="2C73F886">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hAnsi="宋体"/>
                <w:sz w:val="21"/>
                <w:szCs w:val="21"/>
                <w:highlight w:val="none"/>
                <w:lang w:eastAsia="zh-CN"/>
              </w:rPr>
              <w:t>（</w:t>
            </w:r>
            <w:r>
              <w:rPr>
                <w:rFonts w:hint="eastAsia" w:hAnsi="宋体"/>
                <w:sz w:val="21"/>
                <w:szCs w:val="21"/>
                <w:highlight w:val="none"/>
                <w:lang w:val="en-US" w:eastAsia="zh-CN"/>
              </w:rPr>
              <w:t>暗标</w:t>
            </w:r>
            <w:r>
              <w:rPr>
                <w:rFonts w:hint="eastAsia" w:hAnsi="宋体"/>
                <w:sz w:val="21"/>
                <w:szCs w:val="21"/>
                <w:highlight w:val="none"/>
                <w:lang w:eastAsia="zh-CN"/>
              </w:rPr>
              <w:t>）</w:t>
            </w:r>
          </w:p>
        </w:tc>
        <w:tc>
          <w:tcPr>
            <w:tcW w:w="638" w:type="dxa"/>
            <w:vMerge w:val="restart"/>
            <w:tcBorders>
              <w:top w:val="single" w:color="auto" w:sz="4" w:space="0"/>
            </w:tcBorders>
            <w:noWrap w:val="0"/>
            <w:vAlign w:val="center"/>
          </w:tcPr>
          <w:p w14:paraId="2BFEECDF">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rPr>
              <w:t>分</w:t>
            </w:r>
          </w:p>
        </w:tc>
        <w:tc>
          <w:tcPr>
            <w:tcW w:w="1162" w:type="dxa"/>
            <w:tcBorders>
              <w:top w:val="single" w:color="auto" w:sz="4" w:space="0"/>
            </w:tcBorders>
            <w:noWrap w:val="0"/>
            <w:vAlign w:val="center"/>
          </w:tcPr>
          <w:p w14:paraId="4CB6F8AD">
            <w:pPr>
              <w:pStyle w:val="5"/>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sz w:val="21"/>
                <w:szCs w:val="21"/>
                <w:highlight w:val="none"/>
                <w:lang w:val="en-US"/>
              </w:rPr>
            </w:pPr>
            <w:r>
              <w:rPr>
                <w:rFonts w:hint="eastAsia"/>
                <w:sz w:val="21"/>
                <w:szCs w:val="21"/>
                <w:highlight w:val="none"/>
                <w:lang w:val="en-US" w:eastAsia="zh-CN"/>
              </w:rPr>
              <w:t>工作大纲</w:t>
            </w:r>
          </w:p>
        </w:tc>
        <w:tc>
          <w:tcPr>
            <w:tcW w:w="725" w:type="dxa"/>
            <w:noWrap w:val="0"/>
            <w:vAlign w:val="center"/>
          </w:tcPr>
          <w:p w14:paraId="51D37DF5">
            <w:pPr>
              <w:pStyle w:val="5"/>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sz w:val="21"/>
                <w:szCs w:val="21"/>
                <w:highlight w:val="none"/>
                <w:lang w:val="en-US" w:eastAsia="zh-CN"/>
              </w:rPr>
            </w:pPr>
            <w:r>
              <w:rPr>
                <w:rFonts w:hint="eastAsia"/>
                <w:sz w:val="21"/>
                <w:szCs w:val="21"/>
                <w:highlight w:val="none"/>
                <w:lang w:val="en-US" w:eastAsia="zh-CN"/>
              </w:rPr>
              <w:t>10分</w:t>
            </w:r>
          </w:p>
        </w:tc>
        <w:tc>
          <w:tcPr>
            <w:tcW w:w="5382" w:type="dxa"/>
            <w:noWrap w:val="0"/>
            <w:vAlign w:val="center"/>
          </w:tcPr>
          <w:p w14:paraId="4AE01655">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sz w:val="21"/>
                <w:szCs w:val="21"/>
                <w:highlight w:val="none"/>
                <w:lang w:val="en-US" w:eastAsia="zh-CN"/>
              </w:rPr>
              <w:t>工作大纲</w:t>
            </w:r>
            <w:r>
              <w:rPr>
                <w:rFonts w:hint="eastAsia" w:ascii="宋体" w:hAnsi="宋体" w:eastAsia="宋体" w:cs="宋体"/>
                <w:color w:val="auto"/>
                <w:sz w:val="21"/>
                <w:szCs w:val="21"/>
                <w:highlight w:val="none"/>
                <w:lang w:val="en-US" w:eastAsia="zh-CN"/>
              </w:rPr>
              <w:t>合理，内容详细，措施完善，可行性强，满足招标文件技术要求，得</w:t>
            </w:r>
            <w:r>
              <w:rPr>
                <w:rFonts w:hint="eastAsia" w:ascii="宋体" w:hAnsi="宋体" w:cs="宋体"/>
                <w:color w:val="auto"/>
                <w:sz w:val="21"/>
                <w:szCs w:val="21"/>
                <w:highlight w:val="none"/>
                <w:lang w:val="en-US" w:eastAsia="zh-CN"/>
              </w:rPr>
              <w:t>8.0-10.0</w:t>
            </w:r>
            <w:r>
              <w:rPr>
                <w:rFonts w:hint="eastAsia" w:ascii="宋体" w:hAnsi="宋体" w:eastAsia="宋体" w:cs="宋体"/>
                <w:color w:val="auto"/>
                <w:sz w:val="21"/>
                <w:szCs w:val="21"/>
                <w:highlight w:val="none"/>
                <w:lang w:val="en-US" w:eastAsia="zh-CN"/>
              </w:rPr>
              <w:t>分；</w:t>
            </w:r>
          </w:p>
          <w:p w14:paraId="0381D568">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sz w:val="21"/>
                <w:szCs w:val="21"/>
                <w:highlight w:val="none"/>
                <w:lang w:val="en-US" w:eastAsia="zh-CN"/>
              </w:rPr>
              <w:t>工作大纲</w:t>
            </w:r>
            <w:r>
              <w:rPr>
                <w:rFonts w:hint="eastAsia" w:ascii="宋体" w:hAnsi="宋体" w:eastAsia="宋体" w:cs="宋体"/>
                <w:color w:val="auto"/>
                <w:sz w:val="21"/>
                <w:szCs w:val="21"/>
                <w:highlight w:val="none"/>
                <w:lang w:val="en-US" w:eastAsia="zh-CN"/>
              </w:rPr>
              <w:t>比较合理，内容</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详细，措施</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合理，可行性较好，达到招标要求，得</w:t>
            </w:r>
            <w:r>
              <w:rPr>
                <w:rFonts w:hint="eastAsia" w:ascii="宋体" w:hAnsi="宋体" w:cs="宋体"/>
                <w:color w:val="auto"/>
                <w:sz w:val="21"/>
                <w:szCs w:val="21"/>
                <w:highlight w:val="none"/>
                <w:lang w:val="en-US" w:eastAsia="zh-CN"/>
              </w:rPr>
              <w:t>6.0-8.0</w:t>
            </w:r>
            <w:r>
              <w:rPr>
                <w:rFonts w:hint="eastAsia" w:ascii="宋体" w:hAnsi="宋体" w:eastAsia="宋体" w:cs="宋体"/>
                <w:color w:val="auto"/>
                <w:sz w:val="21"/>
                <w:szCs w:val="21"/>
                <w:highlight w:val="none"/>
                <w:lang w:val="en-US" w:eastAsia="zh-CN"/>
              </w:rPr>
              <w:t>分；</w:t>
            </w:r>
          </w:p>
          <w:p w14:paraId="32414497">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sz w:val="21"/>
                <w:szCs w:val="21"/>
                <w:highlight w:val="none"/>
                <w:lang w:val="en-US" w:eastAsia="zh-CN"/>
              </w:rPr>
              <w:t>工作大纲</w:t>
            </w:r>
            <w:r>
              <w:rPr>
                <w:rFonts w:hint="eastAsia" w:ascii="宋体" w:hAnsi="宋体" w:eastAsia="宋体" w:cs="宋体"/>
                <w:color w:val="auto"/>
                <w:sz w:val="21"/>
                <w:szCs w:val="21"/>
                <w:highlight w:val="none"/>
                <w:lang w:val="en-US" w:eastAsia="zh-CN"/>
              </w:rPr>
              <w:t>内容</w:t>
            </w:r>
            <w:r>
              <w:rPr>
                <w:rFonts w:hint="eastAsia"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完善，措施</w:t>
            </w:r>
            <w:r>
              <w:rPr>
                <w:rFonts w:hint="eastAsia"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合理，</w:t>
            </w:r>
            <w:r>
              <w:rPr>
                <w:rFonts w:hint="eastAsia"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可行，得</w:t>
            </w:r>
            <w:r>
              <w:rPr>
                <w:rFonts w:hint="eastAsia" w:hAnsi="宋体" w:cs="宋体"/>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分。</w:t>
            </w:r>
          </w:p>
        </w:tc>
      </w:tr>
      <w:tr w14:paraId="3996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4CB131C6">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004" w:type="dxa"/>
            <w:vMerge w:val="continue"/>
            <w:noWrap w:val="0"/>
            <w:vAlign w:val="center"/>
          </w:tcPr>
          <w:p w14:paraId="7355F863">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38" w:type="dxa"/>
            <w:vMerge w:val="continue"/>
            <w:noWrap w:val="0"/>
            <w:vAlign w:val="center"/>
          </w:tcPr>
          <w:p w14:paraId="4FCE9589">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62" w:type="dxa"/>
            <w:noWrap w:val="0"/>
            <w:vAlign w:val="center"/>
          </w:tcPr>
          <w:p w14:paraId="63B19212">
            <w:pPr>
              <w:widowControl/>
              <w:snapToGrid w:val="0"/>
              <w:spacing w:line="320" w:lineRule="exact"/>
              <w:jc w:val="center"/>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重点及难点分析</w:t>
            </w:r>
          </w:p>
        </w:tc>
        <w:tc>
          <w:tcPr>
            <w:tcW w:w="725" w:type="dxa"/>
            <w:noWrap w:val="0"/>
            <w:vAlign w:val="center"/>
          </w:tcPr>
          <w:p w14:paraId="6FB0E690">
            <w:pPr>
              <w:widowControl/>
              <w:snapToGrid w:val="0"/>
              <w:spacing w:line="320" w:lineRule="exact"/>
              <w:jc w:val="center"/>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5382" w:type="dxa"/>
            <w:noWrap w:val="0"/>
            <w:vAlign w:val="top"/>
          </w:tcPr>
          <w:p w14:paraId="786DE246">
            <w:pPr>
              <w:widowControl/>
              <w:numPr>
                <w:ilvl w:val="0"/>
                <w:numId w:val="0"/>
              </w:numPr>
              <w:snapToGrid w:val="0"/>
              <w:spacing w:line="320" w:lineRule="exact"/>
              <w:textAlignment w:val="top"/>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分析透彻、措施具体得力，得</w:t>
            </w:r>
            <w:r>
              <w:rPr>
                <w:rFonts w:hint="eastAsia" w:ascii="宋体" w:hAnsi="宋体" w:eastAsia="宋体" w:cs="宋体"/>
                <w:sz w:val="21"/>
                <w:szCs w:val="21"/>
                <w:highlight w:val="none"/>
                <w:lang w:val="en-US" w:eastAsia="zh-CN"/>
              </w:rPr>
              <w:t>8</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分。</w:t>
            </w:r>
          </w:p>
          <w:p w14:paraId="49118E47">
            <w:pPr>
              <w:widowControl/>
              <w:numPr>
                <w:ilvl w:val="0"/>
                <w:numId w:val="0"/>
              </w:numPr>
              <w:snapToGrid w:val="0"/>
              <w:spacing w:line="320" w:lineRule="exact"/>
              <w:textAlignment w:val="top"/>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分析较全面、措施较得力，得</w:t>
            </w:r>
            <w:r>
              <w:rPr>
                <w:rFonts w:hint="eastAsia" w:ascii="宋体" w:hAnsi="宋体" w:eastAsia="宋体" w:cs="宋体"/>
                <w:sz w:val="21"/>
                <w:szCs w:val="21"/>
                <w:highlight w:val="none"/>
                <w:lang w:val="en-US" w:eastAsia="zh-CN"/>
              </w:rPr>
              <w:t>6</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分；</w:t>
            </w:r>
          </w:p>
          <w:p w14:paraId="3BFE15FF">
            <w:pPr>
              <w:widowControl/>
              <w:numPr>
                <w:ilvl w:val="0"/>
                <w:numId w:val="0"/>
              </w:numPr>
              <w:snapToGrid w:val="0"/>
              <w:spacing w:line="320" w:lineRule="exact"/>
              <w:textAlignment w:val="top"/>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分析</w:t>
            </w:r>
            <w:r>
              <w:rPr>
                <w:rFonts w:hint="eastAsia" w:ascii="宋体" w:hAnsi="宋体" w:eastAsia="宋体" w:cs="宋体"/>
                <w:sz w:val="21"/>
                <w:szCs w:val="21"/>
                <w:highlight w:val="none"/>
              </w:rPr>
              <w:t>一般，得</w:t>
            </w:r>
            <w:r>
              <w:rPr>
                <w:rFonts w:hint="eastAsia" w:ascii="宋体" w:hAnsi="宋体" w:eastAsia="宋体" w:cs="宋体"/>
                <w:sz w:val="21"/>
                <w:szCs w:val="21"/>
                <w:highlight w:val="none"/>
                <w:lang w:val="en-US" w:eastAsia="zh-CN"/>
              </w:rPr>
              <w:t>6</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分；</w:t>
            </w:r>
          </w:p>
        </w:tc>
      </w:tr>
      <w:tr w14:paraId="773C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42BE8CEA">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004" w:type="dxa"/>
            <w:vMerge w:val="continue"/>
            <w:noWrap w:val="0"/>
            <w:vAlign w:val="center"/>
          </w:tcPr>
          <w:p w14:paraId="49FA65F2">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38" w:type="dxa"/>
            <w:vMerge w:val="continue"/>
            <w:noWrap w:val="0"/>
            <w:vAlign w:val="center"/>
          </w:tcPr>
          <w:p w14:paraId="775496A4">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62" w:type="dxa"/>
            <w:noWrap w:val="0"/>
            <w:vAlign w:val="center"/>
          </w:tcPr>
          <w:p w14:paraId="60FA7302">
            <w:pPr>
              <w:widowControl/>
              <w:snapToGrid w:val="0"/>
              <w:spacing w:line="320" w:lineRule="exact"/>
              <w:jc w:val="center"/>
              <w:textAlignment w:val="top"/>
              <w:rPr>
                <w:rFonts w:hint="eastAsia" w:ascii="宋体" w:hAnsi="宋体" w:eastAsia="宋体" w:cs="宋体"/>
                <w:sz w:val="21"/>
                <w:szCs w:val="21"/>
                <w:highlight w:val="none"/>
              </w:rPr>
            </w:pPr>
            <w:r>
              <w:rPr>
                <w:rFonts w:hint="eastAsia" w:ascii="宋体" w:hAnsi="宋体"/>
                <w:color w:val="000000"/>
                <w:sz w:val="21"/>
                <w:szCs w:val="21"/>
                <w:highlight w:val="none"/>
                <w:lang w:eastAsia="zh-CN" w:bidi="ar"/>
              </w:rPr>
              <w:t>进度、质量、安全及风险保证措施</w:t>
            </w:r>
          </w:p>
        </w:tc>
        <w:tc>
          <w:tcPr>
            <w:tcW w:w="725" w:type="dxa"/>
            <w:noWrap w:val="0"/>
            <w:vAlign w:val="center"/>
          </w:tcPr>
          <w:p w14:paraId="2638E517">
            <w:pPr>
              <w:widowControl/>
              <w:snapToGrid w:val="0"/>
              <w:spacing w:line="320" w:lineRule="exact"/>
              <w:jc w:val="center"/>
              <w:textAlignment w:val="top"/>
              <w:rPr>
                <w:rFonts w:hint="eastAsia" w:ascii="宋体" w:hAnsi="宋体" w:eastAsia="宋体" w:cs="宋体"/>
                <w:sz w:val="21"/>
                <w:szCs w:val="21"/>
                <w:highlight w:val="none"/>
              </w:rPr>
            </w:pPr>
            <w:r>
              <w:rPr>
                <w:rFonts w:hint="eastAsia" w:ascii="宋体" w:hAnsi="宋体"/>
                <w:color w:val="000000"/>
                <w:sz w:val="21"/>
                <w:szCs w:val="21"/>
                <w:highlight w:val="none"/>
                <w:lang w:eastAsia="zh-CN" w:bidi="ar"/>
              </w:rPr>
              <w:t>10分</w:t>
            </w:r>
          </w:p>
        </w:tc>
        <w:tc>
          <w:tcPr>
            <w:tcW w:w="5382" w:type="dxa"/>
            <w:noWrap w:val="0"/>
            <w:vAlign w:val="top"/>
          </w:tcPr>
          <w:p w14:paraId="1FA21B84">
            <w:pPr>
              <w:widowControl/>
              <w:snapToGrid w:val="0"/>
              <w:spacing w:line="320" w:lineRule="exact"/>
              <w:textAlignment w:val="top"/>
              <w:rPr>
                <w:rFonts w:hint="eastAsia" w:ascii="宋体" w:hAnsi="宋体" w:eastAsia="宋体" w:cs="宋体"/>
                <w:kern w:val="2"/>
                <w:sz w:val="21"/>
                <w:szCs w:val="21"/>
                <w:highlight w:val="none"/>
              </w:rPr>
            </w:pPr>
            <w:r>
              <w:rPr>
                <w:rFonts w:hint="eastAsia" w:ascii="宋体" w:hAnsi="宋体"/>
                <w:color w:val="000000"/>
                <w:sz w:val="21"/>
                <w:szCs w:val="21"/>
                <w:highlight w:val="none"/>
                <w:lang w:eastAsia="zh-CN" w:bidi="ar"/>
              </w:rPr>
              <w:t>1. 保障方案详尽完善，对进度、质量、安全及风险的分析具体全面、贴合项目实际，对应保证措施科学严谨、可操作性强，得8.</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-10.0分。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2. 保障方案较全面，对进度、质量、安全及风险的分析细致合理、贴合项目实际，对应保证措施全面规范、针对性较强，可实施性较好，得6.</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-8.0分。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3. 保障方案基本可行，对进度、质量、安全及风险的分析基本全面、贴合项目基础需求，对应保证措施基本规范、无明显缺失，可实施性一般，得6.0分。</w:t>
            </w:r>
          </w:p>
        </w:tc>
      </w:tr>
      <w:tr w14:paraId="19B3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41" w:type="dxa"/>
            <w:vMerge w:val="continue"/>
            <w:noWrap w:val="0"/>
            <w:vAlign w:val="top"/>
          </w:tcPr>
          <w:p w14:paraId="6C578982">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004" w:type="dxa"/>
            <w:vMerge w:val="continue"/>
            <w:noWrap w:val="0"/>
            <w:vAlign w:val="top"/>
          </w:tcPr>
          <w:p w14:paraId="22E91D91">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p>
        </w:tc>
        <w:tc>
          <w:tcPr>
            <w:tcW w:w="638" w:type="dxa"/>
            <w:vMerge w:val="continue"/>
            <w:noWrap w:val="0"/>
            <w:vAlign w:val="top"/>
          </w:tcPr>
          <w:p w14:paraId="695A0038">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p>
        </w:tc>
        <w:tc>
          <w:tcPr>
            <w:tcW w:w="1162" w:type="dxa"/>
            <w:tcBorders>
              <w:bottom w:val="single" w:color="auto" w:sz="4" w:space="0"/>
            </w:tcBorders>
            <w:noWrap w:val="0"/>
            <w:vAlign w:val="center"/>
          </w:tcPr>
          <w:p w14:paraId="3833903D">
            <w:pPr>
              <w:pStyle w:val="5"/>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sz w:val="21"/>
                <w:szCs w:val="21"/>
                <w:highlight w:val="none"/>
              </w:rPr>
              <w:t>培训方案</w:t>
            </w:r>
          </w:p>
        </w:tc>
        <w:tc>
          <w:tcPr>
            <w:tcW w:w="725" w:type="dxa"/>
            <w:tcBorders>
              <w:bottom w:val="single" w:color="auto" w:sz="4" w:space="0"/>
            </w:tcBorders>
            <w:noWrap w:val="0"/>
            <w:vAlign w:val="center"/>
          </w:tcPr>
          <w:p w14:paraId="3A1720A6">
            <w:pPr>
              <w:pStyle w:val="5"/>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sz w:val="21"/>
                <w:szCs w:val="21"/>
                <w:highlight w:val="none"/>
              </w:rPr>
              <w:t>10</w:t>
            </w:r>
            <w:r>
              <w:rPr>
                <w:rFonts w:hint="eastAsia"/>
                <w:sz w:val="21"/>
                <w:szCs w:val="21"/>
                <w:highlight w:val="none"/>
                <w:lang w:val="en-US" w:eastAsia="zh-CN"/>
              </w:rPr>
              <w:t>分</w:t>
            </w:r>
          </w:p>
        </w:tc>
        <w:tc>
          <w:tcPr>
            <w:tcW w:w="5382" w:type="dxa"/>
            <w:tcBorders>
              <w:bottom w:val="single" w:color="auto" w:sz="4" w:space="0"/>
            </w:tcBorders>
            <w:noWrap w:val="0"/>
            <w:vAlign w:val="center"/>
          </w:tcPr>
          <w:p w14:paraId="1F1ABEAA">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sz w:val="21"/>
                <w:szCs w:val="21"/>
                <w:highlight w:val="none"/>
              </w:rPr>
            </w:pPr>
            <w:r>
              <w:rPr>
                <w:sz w:val="21"/>
                <w:szCs w:val="21"/>
                <w:highlight w:val="none"/>
              </w:rPr>
              <w:t>按照培训内容、培训计划、专业讲师资历的优劣进行分档打分：</w:t>
            </w:r>
          </w:p>
          <w:p w14:paraId="0B0FC399">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sz w:val="21"/>
                <w:szCs w:val="21"/>
                <w:highlight w:val="none"/>
              </w:rPr>
            </w:pPr>
            <w:r>
              <w:rPr>
                <w:sz w:val="21"/>
                <w:szCs w:val="21"/>
                <w:highlight w:val="none"/>
              </w:rPr>
              <w:t>培训内容丰富、培训计划合理，讲师资历深厚，得</w:t>
            </w:r>
            <w:r>
              <w:rPr>
                <w:rFonts w:hint="eastAsia"/>
                <w:sz w:val="21"/>
                <w:szCs w:val="21"/>
                <w:highlight w:val="none"/>
                <w:lang w:val="en-US" w:eastAsia="zh-CN"/>
              </w:rPr>
              <w:t>8.0-10.0</w:t>
            </w:r>
            <w:r>
              <w:rPr>
                <w:sz w:val="21"/>
                <w:szCs w:val="21"/>
                <w:highlight w:val="none"/>
              </w:rPr>
              <w:t>分；</w:t>
            </w:r>
          </w:p>
          <w:p w14:paraId="1CA657A8">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sz w:val="21"/>
                <w:szCs w:val="21"/>
                <w:highlight w:val="none"/>
              </w:rPr>
            </w:pPr>
            <w:r>
              <w:rPr>
                <w:sz w:val="21"/>
                <w:szCs w:val="21"/>
                <w:highlight w:val="none"/>
              </w:rPr>
              <w:t>培训内容较丰富、培训计划较合理，讲师资历较高</w:t>
            </w:r>
            <w:r>
              <w:rPr>
                <w:rFonts w:hint="eastAsia"/>
                <w:sz w:val="21"/>
                <w:szCs w:val="21"/>
                <w:highlight w:val="none"/>
                <w:lang w:eastAsia="zh-CN"/>
              </w:rPr>
              <w:t>，</w:t>
            </w:r>
            <w:r>
              <w:rPr>
                <w:sz w:val="21"/>
                <w:szCs w:val="21"/>
                <w:highlight w:val="none"/>
              </w:rPr>
              <w:t>得</w:t>
            </w:r>
            <w:r>
              <w:rPr>
                <w:rFonts w:hint="eastAsia"/>
                <w:sz w:val="21"/>
                <w:szCs w:val="21"/>
                <w:highlight w:val="none"/>
                <w:lang w:val="en-US" w:eastAsia="zh-CN"/>
              </w:rPr>
              <w:t>6.0-8.0</w:t>
            </w:r>
            <w:r>
              <w:rPr>
                <w:sz w:val="21"/>
                <w:szCs w:val="21"/>
                <w:highlight w:val="none"/>
              </w:rPr>
              <w:t>分；</w:t>
            </w:r>
          </w:p>
          <w:p w14:paraId="0292BFE6">
            <w:pPr>
              <w:pStyle w:val="5"/>
              <w:keepNext w:val="0"/>
              <w:keepLines w:val="0"/>
              <w:pageBreakBefore w:val="0"/>
              <w:widowControl w:val="0"/>
              <w:kinsoku/>
              <w:wordWrap/>
              <w:overflowPunct/>
              <w:topLinePunct w:val="0"/>
              <w:autoSpaceDE/>
              <w:autoSpaceDN/>
              <w:bidi w:val="0"/>
              <w:adjustRightInd/>
              <w:snapToGrid w:val="0"/>
              <w:spacing w:line="320" w:lineRule="exact"/>
              <w:ind w:firstLine="88" w:firstLineChars="42"/>
              <w:textAlignment w:val="auto"/>
              <w:rPr>
                <w:rFonts w:hint="eastAsia" w:ascii="宋体" w:hAnsi="宋体" w:eastAsia="宋体" w:cs="宋体"/>
                <w:kern w:val="2"/>
                <w:sz w:val="21"/>
                <w:szCs w:val="21"/>
                <w:highlight w:val="none"/>
              </w:rPr>
            </w:pPr>
            <w:r>
              <w:rPr>
                <w:sz w:val="21"/>
                <w:szCs w:val="21"/>
                <w:highlight w:val="none"/>
              </w:rPr>
              <w:t>培训内容一般、培训计划一般，讲师资历一般得</w:t>
            </w:r>
            <w:r>
              <w:rPr>
                <w:rFonts w:hint="eastAsia"/>
                <w:sz w:val="21"/>
                <w:szCs w:val="21"/>
                <w:highlight w:val="none"/>
                <w:lang w:val="en-US" w:eastAsia="zh-CN"/>
              </w:rPr>
              <w:t>6.0</w:t>
            </w:r>
            <w:r>
              <w:rPr>
                <w:sz w:val="21"/>
                <w:szCs w:val="21"/>
                <w:highlight w:val="none"/>
              </w:rPr>
              <w:t>分。</w:t>
            </w:r>
          </w:p>
        </w:tc>
      </w:tr>
      <w:tr w14:paraId="4659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41" w:type="dxa"/>
            <w:tcBorders>
              <w:top w:val="nil"/>
            </w:tcBorders>
            <w:noWrap w:val="0"/>
            <w:vAlign w:val="center"/>
          </w:tcPr>
          <w:p w14:paraId="754D556F">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2.2.4（2）</w:t>
            </w:r>
          </w:p>
        </w:tc>
        <w:tc>
          <w:tcPr>
            <w:tcW w:w="1004" w:type="dxa"/>
            <w:tcBorders>
              <w:top w:val="nil"/>
            </w:tcBorders>
            <w:noWrap w:val="0"/>
            <w:vAlign w:val="center"/>
          </w:tcPr>
          <w:p w14:paraId="2298FD62">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主要人员</w:t>
            </w:r>
          </w:p>
        </w:tc>
        <w:tc>
          <w:tcPr>
            <w:tcW w:w="638" w:type="dxa"/>
            <w:tcBorders>
              <w:top w:val="nil"/>
            </w:tcBorders>
            <w:noWrap w:val="0"/>
            <w:vAlign w:val="center"/>
          </w:tcPr>
          <w:p w14:paraId="2AD4255C">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1162" w:type="dxa"/>
            <w:noWrap w:val="0"/>
            <w:vAlign w:val="center"/>
          </w:tcPr>
          <w:p w14:paraId="468034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kern w:val="2"/>
                <w:sz w:val="21"/>
                <w:szCs w:val="21"/>
                <w:highlight w:val="none"/>
              </w:rPr>
            </w:pPr>
            <w:r>
              <w:rPr>
                <w:rFonts w:hint="eastAsia" w:ascii="宋体" w:hAnsi="宋体" w:cs="宋体"/>
                <w:kern w:val="2"/>
                <w:sz w:val="21"/>
                <w:szCs w:val="21"/>
                <w:highlight w:val="none"/>
                <w:lang w:val="en-US" w:eastAsia="zh-CN"/>
              </w:rPr>
              <w:t>主要人员</w:t>
            </w:r>
          </w:p>
        </w:tc>
        <w:tc>
          <w:tcPr>
            <w:tcW w:w="725" w:type="dxa"/>
            <w:noWrap w:val="0"/>
            <w:vAlign w:val="center"/>
          </w:tcPr>
          <w:p w14:paraId="31CA442E">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382" w:type="dxa"/>
            <w:noWrap w:val="0"/>
            <w:vAlign w:val="center"/>
          </w:tcPr>
          <w:p w14:paraId="4E41D665">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投标人满足“资格审查条件（</w:t>
            </w:r>
            <w:r>
              <w:rPr>
                <w:rFonts w:hint="eastAsia" w:ascii="宋体" w:hAnsi="宋体" w:cs="宋体"/>
                <w:sz w:val="21"/>
                <w:szCs w:val="21"/>
                <w:highlight w:val="none"/>
                <w:lang w:val="en-US" w:eastAsia="zh-CN"/>
              </w:rPr>
              <w:t>主要人员</w:t>
            </w:r>
            <w:r>
              <w:rPr>
                <w:rFonts w:hint="eastAsia" w:ascii="宋体" w:hAnsi="宋体" w:eastAsia="宋体" w:cs="宋体"/>
                <w:sz w:val="21"/>
                <w:szCs w:val="21"/>
                <w:highlight w:val="none"/>
              </w:rPr>
              <w:t>最低要求）”得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w:t>
            </w:r>
          </w:p>
          <w:p w14:paraId="327DC329">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sz w:val="21"/>
                <w:szCs w:val="21"/>
                <w:highlight w:val="none"/>
                <w:lang w:eastAsia="zh-CN"/>
              </w:rPr>
              <w:t>近3年（2023年4月1日至投标截止时间，以合同签订时间为准），</w:t>
            </w:r>
            <w:r>
              <w:rPr>
                <w:rFonts w:hint="eastAsia" w:ascii="宋体" w:hAnsi="宋体"/>
                <w:color w:val="auto"/>
                <w:sz w:val="21"/>
                <w:szCs w:val="21"/>
                <w:highlight w:val="none"/>
                <w:lang w:val="en-US" w:eastAsia="zh-CN"/>
              </w:rPr>
              <w:t>等保测评负责人每增加</w:t>
            </w:r>
            <w:r>
              <w:rPr>
                <w:rFonts w:hint="eastAsia"/>
                <w:sz w:val="21"/>
                <w:szCs w:val="21"/>
                <w:highlight w:val="none"/>
                <w:lang w:eastAsia="zh-CN"/>
              </w:rPr>
              <w:t>1项</w:t>
            </w:r>
            <w:r>
              <w:rPr>
                <w:rFonts w:hint="eastAsia" w:ascii="宋体" w:hAnsi="宋体"/>
                <w:sz w:val="21"/>
                <w:szCs w:val="21"/>
                <w:highlight w:val="none"/>
                <w:lang w:eastAsia="zh-CN"/>
              </w:rPr>
              <w:t>合同金额不少于</w:t>
            </w:r>
            <w:r>
              <w:rPr>
                <w:rFonts w:hint="eastAsia" w:ascii="宋体" w:hAnsi="宋体"/>
                <w:sz w:val="21"/>
                <w:szCs w:val="21"/>
                <w:highlight w:val="none"/>
                <w:lang w:val="en-US" w:eastAsia="zh-CN"/>
              </w:rPr>
              <w:t>3</w:t>
            </w:r>
            <w:r>
              <w:rPr>
                <w:rFonts w:hint="eastAsia" w:ascii="宋体" w:hAnsi="宋体"/>
                <w:sz w:val="21"/>
                <w:szCs w:val="21"/>
                <w:highlight w:val="none"/>
                <w:lang w:eastAsia="zh-CN"/>
              </w:rPr>
              <w:t>0万元的等保测评服务</w:t>
            </w:r>
            <w:r>
              <w:rPr>
                <w:rFonts w:hint="eastAsia"/>
                <w:sz w:val="21"/>
                <w:szCs w:val="21"/>
                <w:highlight w:val="none"/>
                <w:lang w:eastAsia="zh-CN"/>
              </w:rPr>
              <w:t>的项目负责人（或项目经理或技术负责人）</w:t>
            </w:r>
            <w:r>
              <w:rPr>
                <w:rFonts w:hint="eastAsia"/>
                <w:sz w:val="21"/>
                <w:szCs w:val="21"/>
                <w:highlight w:val="none"/>
                <w:lang w:val="en-US" w:eastAsia="zh-CN"/>
              </w:rPr>
              <w:t>业绩</w:t>
            </w:r>
            <w:r>
              <w:rPr>
                <w:rFonts w:hint="eastAsia" w:ascii="宋体" w:hAnsi="宋体" w:eastAsia="宋体" w:cs="宋体"/>
                <w:sz w:val="21"/>
                <w:szCs w:val="21"/>
                <w:highlight w:val="none"/>
              </w:rPr>
              <w:t>加</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分，最多加</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sz w:val="21"/>
                <w:szCs w:val="21"/>
                <w:highlight w:val="none"/>
                <w:lang w:eastAsia="zh-CN"/>
              </w:rPr>
              <w:t>。</w:t>
            </w:r>
          </w:p>
          <w:p w14:paraId="6FC74DF9">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right="0" w:rightChars="0"/>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eastAsia="zh-CN"/>
              </w:rPr>
              <w:t>.近3年（2023年</w:t>
            </w:r>
            <w:r>
              <w:rPr>
                <w:rFonts w:hint="eastAsia" w:ascii="宋体" w:hAnsi="宋体" w:cs="宋体"/>
                <w:sz w:val="21"/>
                <w:szCs w:val="21"/>
                <w:highlight w:val="none"/>
                <w:lang w:eastAsia="zh-CN"/>
              </w:rPr>
              <w:t>4月</w:t>
            </w:r>
            <w:r>
              <w:rPr>
                <w:rFonts w:hint="eastAsia" w:ascii="宋体" w:hAnsi="宋体" w:eastAsia="宋体" w:cs="宋体"/>
                <w:sz w:val="21"/>
                <w:szCs w:val="21"/>
                <w:highlight w:val="none"/>
                <w:lang w:eastAsia="zh-CN"/>
              </w:rPr>
              <w:t>1日至投标截止时间，以合同签订时间为准），</w:t>
            </w:r>
            <w:r>
              <w:rPr>
                <w:rFonts w:hint="eastAsia" w:ascii="宋体" w:hAnsi="宋体" w:eastAsia="宋体" w:cs="宋体"/>
                <w:color w:val="auto"/>
                <w:kern w:val="0"/>
                <w:sz w:val="21"/>
                <w:szCs w:val="21"/>
                <w:highlight w:val="none"/>
                <w:lang w:val="en-US" w:eastAsia="zh-CN" w:bidi="ar-SA"/>
              </w:rPr>
              <w:t>密码评估</w:t>
            </w:r>
            <w:r>
              <w:rPr>
                <w:rFonts w:hint="eastAsia" w:ascii="宋体" w:hAnsi="宋体" w:cs="宋体"/>
                <w:color w:val="auto"/>
                <w:kern w:val="0"/>
                <w:sz w:val="21"/>
                <w:szCs w:val="21"/>
                <w:highlight w:val="none"/>
                <w:lang w:val="en-US" w:eastAsia="zh-CN" w:bidi="ar-SA"/>
              </w:rPr>
              <w:t>负责人每</w:t>
            </w:r>
            <w:r>
              <w:rPr>
                <w:rFonts w:hint="eastAsia"/>
                <w:sz w:val="21"/>
                <w:szCs w:val="21"/>
                <w:highlight w:val="none"/>
                <w:lang w:val="en-US" w:eastAsia="zh-CN"/>
              </w:rPr>
              <w:t>增加</w:t>
            </w:r>
            <w:r>
              <w:rPr>
                <w:rFonts w:hint="eastAsia"/>
                <w:sz w:val="21"/>
                <w:szCs w:val="21"/>
                <w:highlight w:val="none"/>
                <w:lang w:eastAsia="zh-CN"/>
              </w:rPr>
              <w:t>1项</w:t>
            </w:r>
            <w:r>
              <w:rPr>
                <w:rFonts w:hint="eastAsia" w:ascii="宋体" w:hAnsi="宋体"/>
                <w:sz w:val="21"/>
                <w:szCs w:val="21"/>
                <w:highlight w:val="none"/>
                <w:lang w:eastAsia="zh-CN"/>
              </w:rPr>
              <w:t>合同金额不少于</w:t>
            </w:r>
            <w:r>
              <w:rPr>
                <w:rFonts w:hint="eastAsia" w:ascii="宋体" w:hAnsi="宋体"/>
                <w:sz w:val="21"/>
                <w:szCs w:val="21"/>
                <w:highlight w:val="none"/>
                <w:lang w:val="en-US" w:eastAsia="zh-CN"/>
              </w:rPr>
              <w:t>5</w:t>
            </w:r>
            <w:r>
              <w:rPr>
                <w:rFonts w:hint="eastAsia" w:ascii="宋体" w:hAnsi="宋体"/>
                <w:sz w:val="21"/>
                <w:szCs w:val="21"/>
                <w:highlight w:val="none"/>
                <w:lang w:eastAsia="zh-CN"/>
              </w:rPr>
              <w:t>0万元的密码评估服务</w:t>
            </w:r>
            <w:r>
              <w:rPr>
                <w:rFonts w:hint="eastAsia"/>
                <w:sz w:val="21"/>
                <w:szCs w:val="21"/>
                <w:highlight w:val="none"/>
                <w:lang w:eastAsia="zh-CN"/>
              </w:rPr>
              <w:t>的项目负责人（或项目经理或技术负责人）</w:t>
            </w:r>
            <w:r>
              <w:rPr>
                <w:rFonts w:hint="eastAsia"/>
                <w:sz w:val="21"/>
                <w:szCs w:val="21"/>
                <w:highlight w:val="none"/>
                <w:lang w:val="en-US" w:eastAsia="zh-CN"/>
              </w:rPr>
              <w:t>业绩</w:t>
            </w:r>
            <w:r>
              <w:rPr>
                <w:rFonts w:hint="eastAsia" w:ascii="宋体" w:hAnsi="宋体" w:eastAsia="宋体" w:cs="宋体"/>
                <w:sz w:val="21"/>
                <w:szCs w:val="21"/>
                <w:highlight w:val="none"/>
              </w:rPr>
              <w:t>加</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分，最多加</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p>
        </w:tc>
      </w:tr>
      <w:tr w14:paraId="0123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14:paraId="5E5ADDAC">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2.2.4（3）</w:t>
            </w:r>
          </w:p>
        </w:tc>
        <w:tc>
          <w:tcPr>
            <w:tcW w:w="1004" w:type="dxa"/>
            <w:tcBorders>
              <w:top w:val="nil"/>
            </w:tcBorders>
            <w:noWrap w:val="0"/>
            <w:vAlign w:val="center"/>
          </w:tcPr>
          <w:p w14:paraId="6687298A">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w:t>
            </w:r>
          </w:p>
        </w:tc>
        <w:tc>
          <w:tcPr>
            <w:tcW w:w="638" w:type="dxa"/>
            <w:tcBorders>
              <w:top w:val="nil"/>
              <w:bottom w:val="single" w:color="auto" w:sz="4" w:space="0"/>
            </w:tcBorders>
            <w:noWrap w:val="0"/>
            <w:vAlign w:val="center"/>
          </w:tcPr>
          <w:p w14:paraId="073C7FAF">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30分</w:t>
            </w:r>
          </w:p>
        </w:tc>
        <w:tc>
          <w:tcPr>
            <w:tcW w:w="7269" w:type="dxa"/>
            <w:gridSpan w:val="3"/>
            <w:tcBorders>
              <w:bottom w:val="single" w:color="auto" w:sz="4" w:space="0"/>
            </w:tcBorders>
            <w:noWrap w:val="0"/>
            <w:vAlign w:val="center"/>
          </w:tcPr>
          <w:p w14:paraId="5A2C0F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评标价得分计算公式：</w:t>
            </w:r>
          </w:p>
          <w:p w14:paraId="6BD34C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（1）如果投标人的评标价＞评标基准价，则评标价得分=F-（投标人评标价-评标基准价）/评标基准价×100×E1；</w:t>
            </w:r>
          </w:p>
          <w:p w14:paraId="6BE7CA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（2）如果投标人的评标价≤评标基准价，则评标价得分=F+（投标人评标价-评标基准价）/评标基准价×100×E2。</w:t>
            </w:r>
          </w:p>
          <w:p w14:paraId="4AF8B0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其中，F=</w:t>
            </w: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rPr>
              <w:t>0；E1=0.</w:t>
            </w: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rPr>
              <w:t>；E2=0.</w:t>
            </w: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rPr>
              <w:t>；评标价最低得分为0分。得分保留两位小数。</w:t>
            </w:r>
          </w:p>
        </w:tc>
      </w:tr>
      <w:tr w14:paraId="12F3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741" w:type="dxa"/>
            <w:noWrap w:val="0"/>
            <w:vAlign w:val="center"/>
          </w:tcPr>
          <w:p w14:paraId="6ABFF6D0">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2.2.4（4）</w:t>
            </w:r>
          </w:p>
        </w:tc>
        <w:tc>
          <w:tcPr>
            <w:tcW w:w="1004" w:type="dxa"/>
            <w:noWrap w:val="0"/>
            <w:vAlign w:val="center"/>
          </w:tcPr>
          <w:p w14:paraId="2C01A814">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其他因素</w:t>
            </w:r>
          </w:p>
        </w:tc>
        <w:tc>
          <w:tcPr>
            <w:tcW w:w="638" w:type="dxa"/>
            <w:tcBorders>
              <w:top w:val="single" w:color="auto" w:sz="4" w:space="0"/>
            </w:tcBorders>
            <w:noWrap w:val="0"/>
            <w:vAlign w:val="center"/>
          </w:tcPr>
          <w:p w14:paraId="4E7E025D">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20分</w:t>
            </w:r>
          </w:p>
        </w:tc>
        <w:tc>
          <w:tcPr>
            <w:tcW w:w="1162" w:type="dxa"/>
            <w:tcBorders>
              <w:top w:val="single" w:color="auto" w:sz="4" w:space="0"/>
            </w:tcBorders>
            <w:noWrap w:val="0"/>
            <w:vAlign w:val="center"/>
          </w:tcPr>
          <w:p w14:paraId="23968E76">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725" w:type="dxa"/>
            <w:tcBorders>
              <w:top w:val="single" w:color="auto" w:sz="4" w:space="0"/>
            </w:tcBorders>
            <w:noWrap w:val="0"/>
            <w:vAlign w:val="center"/>
          </w:tcPr>
          <w:p w14:paraId="49344A9E">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20</w:t>
            </w:r>
            <w:r>
              <w:rPr>
                <w:rFonts w:hint="eastAsia" w:ascii="宋体" w:hAnsi="宋体" w:eastAsia="宋体" w:cs="宋体"/>
                <w:sz w:val="21"/>
                <w:szCs w:val="21"/>
                <w:highlight w:val="none"/>
              </w:rPr>
              <w:t>分</w:t>
            </w:r>
          </w:p>
        </w:tc>
        <w:tc>
          <w:tcPr>
            <w:tcW w:w="5382" w:type="dxa"/>
            <w:tcBorders>
              <w:top w:val="single" w:color="auto" w:sz="4" w:space="0"/>
            </w:tcBorders>
            <w:noWrap w:val="0"/>
            <w:vAlign w:val="center"/>
          </w:tcPr>
          <w:p w14:paraId="7EEBD6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kern w:val="2"/>
                <w:sz w:val="21"/>
                <w:szCs w:val="21"/>
                <w:highlight w:val="none"/>
              </w:rPr>
            </w:pPr>
            <w:r>
              <w:rPr>
                <w:rFonts w:hint="eastAsia" w:ascii="宋体" w:hAnsi="宋体" w:cs="宋体"/>
                <w:kern w:val="2"/>
                <w:sz w:val="21"/>
                <w:szCs w:val="21"/>
                <w:highlight w:val="none"/>
                <w:lang w:val="en-US" w:eastAsia="zh-CN"/>
              </w:rPr>
              <w:t>1.</w:t>
            </w:r>
            <w:r>
              <w:rPr>
                <w:rFonts w:hint="eastAsia" w:ascii="宋体" w:hAnsi="宋体" w:eastAsia="宋体" w:cs="宋体"/>
                <w:kern w:val="2"/>
                <w:sz w:val="21"/>
                <w:szCs w:val="21"/>
                <w:highlight w:val="none"/>
              </w:rPr>
              <w:t>满足“资格审查条件（业绩最低要求）”得</w:t>
            </w:r>
            <w:r>
              <w:rPr>
                <w:rFonts w:hint="eastAsia" w:ascii="宋体" w:hAnsi="宋体" w:cs="宋体"/>
                <w:kern w:val="2"/>
                <w:sz w:val="21"/>
                <w:szCs w:val="21"/>
                <w:highlight w:val="none"/>
                <w:lang w:val="en-US" w:eastAsia="zh-CN"/>
              </w:rPr>
              <w:t>12</w:t>
            </w:r>
            <w:r>
              <w:rPr>
                <w:rFonts w:hint="eastAsia" w:ascii="宋体" w:hAnsi="宋体" w:eastAsia="宋体" w:cs="宋体"/>
                <w:kern w:val="2"/>
                <w:sz w:val="21"/>
                <w:szCs w:val="21"/>
                <w:highlight w:val="none"/>
              </w:rPr>
              <w:t>分；</w:t>
            </w:r>
          </w:p>
          <w:p w14:paraId="78D65529">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sz w:val="21"/>
                <w:szCs w:val="21"/>
                <w:highlight w:val="none"/>
                <w:lang w:eastAsia="zh-CN"/>
              </w:rPr>
            </w:pPr>
            <w:r>
              <w:rPr>
                <w:rFonts w:hint="eastAsia" w:ascii="宋体" w:hAnsi="宋体"/>
                <w:sz w:val="21"/>
                <w:szCs w:val="21"/>
                <w:highlight w:val="none"/>
                <w:lang w:val="en-US" w:eastAsia="zh-CN"/>
              </w:rPr>
              <w:t>2</w:t>
            </w:r>
            <w:r>
              <w:rPr>
                <w:rFonts w:hint="eastAsia" w:ascii="宋体" w:hAnsi="宋体"/>
                <w:sz w:val="21"/>
                <w:szCs w:val="21"/>
                <w:highlight w:val="none"/>
                <w:lang w:eastAsia="zh-CN"/>
              </w:rPr>
              <w:t>.近3年（2023年4月1日至投标截止时间，以合同签订时间为准），</w:t>
            </w:r>
            <w:r>
              <w:rPr>
                <w:rFonts w:hint="eastAsia" w:ascii="宋体" w:hAnsi="宋体"/>
                <w:sz w:val="21"/>
                <w:szCs w:val="21"/>
                <w:highlight w:val="none"/>
                <w:lang w:val="en-US" w:eastAsia="zh-CN"/>
              </w:rPr>
              <w:t>每增加</w:t>
            </w:r>
            <w:r>
              <w:rPr>
                <w:rFonts w:hint="eastAsia" w:ascii="宋体" w:hAnsi="宋体"/>
                <w:sz w:val="21"/>
                <w:szCs w:val="21"/>
                <w:highlight w:val="none"/>
                <w:lang w:eastAsia="zh-CN"/>
              </w:rPr>
              <w:t>1项合同金额不少于</w:t>
            </w:r>
            <w:r>
              <w:rPr>
                <w:rFonts w:hint="eastAsia" w:ascii="宋体" w:hAnsi="宋体"/>
                <w:sz w:val="21"/>
                <w:szCs w:val="21"/>
                <w:highlight w:val="none"/>
                <w:lang w:val="en-US" w:eastAsia="zh-CN"/>
              </w:rPr>
              <w:t>30</w:t>
            </w:r>
            <w:r>
              <w:rPr>
                <w:rFonts w:hint="eastAsia" w:ascii="宋体" w:hAnsi="宋体"/>
                <w:sz w:val="21"/>
                <w:szCs w:val="21"/>
                <w:highlight w:val="none"/>
                <w:lang w:eastAsia="zh-CN"/>
              </w:rPr>
              <w:t>万元的等保测评服务</w:t>
            </w:r>
            <w:r>
              <w:rPr>
                <w:rFonts w:hint="eastAsia" w:ascii="宋体" w:hAnsi="宋体"/>
                <w:sz w:val="21"/>
                <w:szCs w:val="21"/>
                <w:highlight w:val="none"/>
                <w:lang w:val="en-US" w:eastAsia="zh-CN"/>
              </w:rPr>
              <w:t>项目业绩</w:t>
            </w:r>
            <w:r>
              <w:rPr>
                <w:rFonts w:hint="eastAsia" w:ascii="宋体" w:hAnsi="宋体" w:eastAsia="宋体" w:cs="宋体"/>
                <w:kern w:val="2"/>
                <w:sz w:val="21"/>
                <w:szCs w:val="21"/>
                <w:highlight w:val="none"/>
              </w:rPr>
              <w:t>加</w:t>
            </w:r>
            <w:r>
              <w:rPr>
                <w:rFonts w:hint="eastAsia" w:ascii="宋体" w:hAnsi="宋体" w:cs="宋体"/>
                <w:kern w:val="2"/>
                <w:sz w:val="21"/>
                <w:szCs w:val="21"/>
                <w:highlight w:val="none"/>
                <w:lang w:val="en-US" w:eastAsia="zh-CN"/>
              </w:rPr>
              <w:t>2</w:t>
            </w:r>
            <w:r>
              <w:rPr>
                <w:rFonts w:hint="eastAsia" w:ascii="宋体" w:hAnsi="宋体" w:eastAsia="宋体" w:cs="宋体"/>
                <w:kern w:val="2"/>
                <w:sz w:val="21"/>
                <w:szCs w:val="21"/>
                <w:highlight w:val="none"/>
              </w:rPr>
              <w:t>分，最多加</w:t>
            </w:r>
            <w:r>
              <w:rPr>
                <w:rFonts w:hint="eastAsia" w:ascii="宋体" w:hAnsi="宋体" w:cs="宋体"/>
                <w:kern w:val="2"/>
                <w:sz w:val="21"/>
                <w:szCs w:val="21"/>
                <w:highlight w:val="none"/>
                <w:lang w:val="en-US" w:eastAsia="zh-CN"/>
              </w:rPr>
              <w:t>4</w:t>
            </w:r>
            <w:r>
              <w:rPr>
                <w:rFonts w:hint="eastAsia" w:ascii="宋体" w:hAnsi="宋体" w:eastAsia="宋体" w:cs="宋体"/>
                <w:kern w:val="2"/>
                <w:sz w:val="21"/>
                <w:szCs w:val="21"/>
                <w:highlight w:val="none"/>
              </w:rPr>
              <w:t>分。</w:t>
            </w:r>
          </w:p>
          <w:p w14:paraId="6BE4E2BA">
            <w:pPr>
              <w:pStyle w:val="10"/>
              <w:keepNext w:val="0"/>
              <w:keepLines w:val="0"/>
              <w:pageBreakBefore w:val="0"/>
              <w:widowControl w:val="0"/>
              <w:numPr>
                <w:ilvl w:val="0"/>
                <w:numId w:val="0"/>
              </w:numPr>
              <w:kinsoku/>
              <w:wordWrap/>
              <w:overflowPunct/>
              <w:topLinePunct w:val="0"/>
              <w:autoSpaceDE/>
              <w:autoSpaceDN/>
              <w:bidi w:val="0"/>
              <w:adjustRightInd/>
              <w:snapToGrid w:val="0"/>
              <w:spacing w:line="30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.近3年（2023年4月1日至投标截止时间，以合同签订时间为准），</w:t>
            </w:r>
            <w:r>
              <w:rPr>
                <w:rFonts w:hint="eastAsia" w:ascii="宋体" w:hAnsi="宋体" w:eastAsia="宋体" w:cs="宋体"/>
                <w:sz w:val="21"/>
                <w:szCs w:val="21"/>
                <w:highlight w:val="none"/>
                <w:lang w:val="en-US" w:eastAsia="zh-CN"/>
              </w:rPr>
              <w:t>每增加</w:t>
            </w:r>
            <w:r>
              <w:rPr>
                <w:rFonts w:hint="eastAsia" w:ascii="宋体" w:hAnsi="宋体" w:eastAsia="宋体" w:cs="宋体"/>
                <w:sz w:val="21"/>
                <w:szCs w:val="21"/>
                <w:highlight w:val="none"/>
                <w:lang w:eastAsia="zh-CN"/>
              </w:rPr>
              <w:t>1项合同金额不少于</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0万元的密码评估服务</w:t>
            </w:r>
            <w:r>
              <w:rPr>
                <w:rFonts w:hint="eastAsia" w:ascii="宋体" w:hAnsi="宋体" w:eastAsia="宋体" w:cs="宋体"/>
                <w:sz w:val="21"/>
                <w:szCs w:val="21"/>
                <w:highlight w:val="none"/>
                <w:lang w:val="en-US" w:eastAsia="zh-CN"/>
              </w:rPr>
              <w:t>项目业绩</w:t>
            </w:r>
            <w:r>
              <w:rPr>
                <w:rFonts w:hint="eastAsia" w:ascii="宋体" w:hAnsi="宋体" w:eastAsia="宋体" w:cs="宋体"/>
                <w:kern w:val="2"/>
                <w:sz w:val="21"/>
                <w:szCs w:val="21"/>
                <w:highlight w:val="none"/>
              </w:rPr>
              <w:t>加</w:t>
            </w:r>
            <w:r>
              <w:rPr>
                <w:rFonts w:hint="eastAsia" w:ascii="宋体" w:hAnsi="宋体" w:cs="宋体"/>
                <w:kern w:val="2"/>
                <w:sz w:val="21"/>
                <w:szCs w:val="21"/>
                <w:highlight w:val="none"/>
                <w:lang w:val="en-US" w:eastAsia="zh-CN"/>
              </w:rPr>
              <w:t>2</w:t>
            </w:r>
            <w:r>
              <w:rPr>
                <w:rFonts w:hint="eastAsia" w:ascii="宋体" w:hAnsi="宋体" w:eastAsia="宋体" w:cs="宋体"/>
                <w:kern w:val="2"/>
                <w:sz w:val="21"/>
                <w:szCs w:val="21"/>
                <w:highlight w:val="none"/>
              </w:rPr>
              <w:t>分，最多加</w:t>
            </w:r>
            <w:r>
              <w:rPr>
                <w:rFonts w:hint="eastAsia" w:ascii="宋体" w:hAnsi="宋体" w:cs="宋体"/>
                <w:kern w:val="2"/>
                <w:sz w:val="21"/>
                <w:szCs w:val="21"/>
                <w:highlight w:val="none"/>
                <w:lang w:val="en-US" w:eastAsia="zh-CN"/>
              </w:rPr>
              <w:t>4</w:t>
            </w:r>
            <w:r>
              <w:rPr>
                <w:rFonts w:hint="eastAsia" w:ascii="宋体" w:hAnsi="宋体" w:eastAsia="宋体" w:cs="宋体"/>
                <w:kern w:val="2"/>
                <w:sz w:val="21"/>
                <w:szCs w:val="21"/>
                <w:highlight w:val="none"/>
              </w:rPr>
              <w:t>分。</w:t>
            </w:r>
          </w:p>
        </w:tc>
      </w:tr>
    </w:tbl>
    <w:p w14:paraId="1D59511C">
      <w:pPr>
        <w:spacing w:line="240" w:lineRule="auto"/>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注：1、第2.2.4（1）项各评委打分保留1位小数，投标人该项得分以各评委打分平均值计算所得，保留两位小数，第三位小数四舍五入。</w:t>
      </w:r>
    </w:p>
    <w:p w14:paraId="2683F80E">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第2.2.4（1）项评</w:t>
      </w:r>
      <w:r>
        <w:rPr>
          <w:rFonts w:hint="eastAsia" w:ascii="宋体" w:hAnsi="宋体" w:cs="宋体"/>
          <w:kern w:val="0"/>
          <w:sz w:val="21"/>
          <w:szCs w:val="21"/>
          <w:highlight w:val="none"/>
          <w:lang w:val="en-US" w:eastAsia="zh-CN"/>
        </w:rPr>
        <w:t>分</w:t>
      </w:r>
      <w:r>
        <w:rPr>
          <w:rFonts w:hint="eastAsia" w:ascii="宋体" w:hAnsi="宋体" w:eastAsia="宋体" w:cs="宋体"/>
          <w:kern w:val="0"/>
          <w:sz w:val="21"/>
          <w:szCs w:val="21"/>
          <w:highlight w:val="none"/>
          <w:lang w:val="zh-CN"/>
        </w:rPr>
        <w:t>因素</w:t>
      </w:r>
      <w:r>
        <w:rPr>
          <w:rFonts w:hint="eastAsia" w:ascii="宋体" w:hAnsi="宋体" w:cs="宋体"/>
          <w:kern w:val="0"/>
          <w:sz w:val="21"/>
          <w:szCs w:val="21"/>
          <w:highlight w:val="none"/>
          <w:lang w:val="en-US" w:eastAsia="zh-CN"/>
        </w:rPr>
        <w:t>细分项</w:t>
      </w:r>
      <w:r>
        <w:rPr>
          <w:rFonts w:hint="eastAsia" w:ascii="宋体" w:hAnsi="宋体" w:eastAsia="宋体" w:cs="宋体"/>
          <w:kern w:val="0"/>
          <w:sz w:val="21"/>
          <w:szCs w:val="21"/>
          <w:highlight w:val="none"/>
          <w:lang w:val="zh-CN"/>
        </w:rPr>
        <w:t>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CEE38">
    <w:pPr>
      <w:pStyle w:val="4"/>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D34B6">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6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U4UgssBAACcAwAADgAAAGRycy9lMm9Eb2MueG1srVNLbtswEN0XyB0I&#10;7mPKBhI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lFhucODnH9/PP3+ff30j&#10;y+K2TAr1HipMfPSYGod3bsC9mf2AzkR8aINJX6REMI76ni76yiESkR6Vq7IsMCQwNl8Qnz099wHi&#10;e+kMSUZNAw4w68qPHyCOqXNKqmbdvdI6D1HbvxyImTws9T72mKw47IaJ0M41J+TT4+xranHVKdEP&#10;FqVNazIbYTZ2s3HwQe27vEepHvi3h4hN5N5ShRF2KoxDy+ymBUtb8fyes55+q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VOFILLAQAAnAMAAA4AAAAAAAAAAQAgAAAAHgEAAGRycy9lMm9E&#10;b2MueG1sUEsFBgAAAAAGAAYAWQEAAFsFAAAAAA==&#10;">
              <v:fill on="f" focussize="0,0"/>
              <v:stroke on="f"/>
              <v:imagedata o:title=""/>
              <o:lock v:ext="edit" aspectratio="f"/>
              <v:textbox inset="0mm,0mm,0mm,0mm" style="mso-fit-shape-to-text:t;">
                <w:txbxContent>
                  <w:p w14:paraId="327D34B6">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9B2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73602"/>
    <w:rsid w:val="0B9924FA"/>
    <w:rsid w:val="2F8266AE"/>
    <w:rsid w:val="32B8126C"/>
    <w:rsid w:val="58823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宋体"/>
      <w:sz w:val="18"/>
      <w:szCs w:val="18"/>
      <w:lang w:val="en-US" w:eastAsia="en-US"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kern w:val="0"/>
      <w:sz w:val="20"/>
      <w:szCs w:val="20"/>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character" w:styleId="9">
    <w:name w:val="Hyperlink"/>
    <w:qFormat/>
    <w:uiPriority w:val="99"/>
    <w:rPr>
      <w:color w:val="0000FF"/>
      <w:u w:val="single"/>
    </w:rPr>
  </w:style>
  <w:style w:type="paragraph" w:customStyle="1" w:styleId="10">
    <w:name w:val="方案正文"/>
    <w:basedOn w:val="1"/>
    <w:qFormat/>
    <w:uiPriority w:val="0"/>
    <w:pPr>
      <w:spacing w:line="560" w:lineRule="exact"/>
      <w:ind w:firstLine="200" w:firstLineChars="200"/>
    </w:pPr>
    <w:rPr>
      <w:rFonts w:eastAsia="仿宋_GB2312" w:cs="黑体"/>
      <w:kern w:val="0"/>
      <w:sz w:val="32"/>
    </w:rPr>
  </w:style>
  <w:style w:type="character" w:customStyle="1" w:styleId="11">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2">
    <w:name w:val="正文首行缩进 21"/>
    <w:basedOn w:val="13"/>
    <w:qFormat/>
    <w:uiPriority w:val="0"/>
    <w:pPr>
      <w:ind w:firstLine="420"/>
    </w:pPr>
  </w:style>
  <w:style w:type="paragraph" w:customStyle="1" w:styleId="13">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7021</Words>
  <Characters>7579</Characters>
  <Lines>0</Lines>
  <Paragraphs>0</Paragraphs>
  <TotalTime>0</TotalTime>
  <ScaleCrop>false</ScaleCrop>
  <LinksUpToDate>false</LinksUpToDate>
  <CharactersWithSpaces>7608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2026-04-02T08:42:18Z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